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lang w:eastAsia="ja-JP"/>
        </w:rPr>
        <w:t>3GPP TSG RAN WG1 meeting #11</w:t>
      </w:r>
      <w:r>
        <w:rPr>
          <w:rFonts w:hint="eastAsia" w:ascii="Arial" w:hAnsi="Arial" w:cs="Arial"/>
          <w:b/>
          <w:bCs/>
          <w:sz w:val="22"/>
          <w:szCs w:val="22"/>
        </w:rPr>
        <w:t>6</w:t>
      </w:r>
      <w:r>
        <w:rPr>
          <w:rFonts w:ascii="Arial" w:hAnsi="Arial" w:cs="Arial"/>
          <w:b/>
          <w:bCs/>
          <w:sz w:val="22"/>
          <w:szCs w:val="22"/>
          <w:lang w:eastAsia="ja-JP"/>
        </w:rPr>
        <w:tab/>
      </w:r>
      <w:r>
        <w:rPr>
          <w:rFonts w:ascii="Arial" w:hAnsi="Arial" w:cs="Arial"/>
          <w:b/>
          <w:bCs/>
          <w:sz w:val="22"/>
          <w:szCs w:val="22"/>
          <w:lang w:eastAsia="ja-JP"/>
        </w:rPr>
        <w:tab/>
      </w:r>
      <w:r>
        <w:rPr>
          <w:rFonts w:ascii="Arial" w:hAnsi="Arial" w:cs="Arial"/>
          <w:b/>
          <w:bCs/>
          <w:sz w:val="22"/>
          <w:szCs w:val="22"/>
          <w:lang w:eastAsia="ja-JP"/>
        </w:rPr>
        <w:t xml:space="preserve">                                   R1-</w:t>
      </w:r>
      <w:r>
        <w:rPr>
          <w:rFonts w:hint="eastAsia" w:ascii="Arial" w:hAnsi="Arial" w:cs="Arial"/>
          <w:b/>
          <w:bCs/>
          <w:sz w:val="22"/>
          <w:szCs w:val="22"/>
          <w:lang w:eastAsia="ja-JP"/>
        </w:rPr>
        <w:t>2400498</w:t>
      </w:r>
    </w:p>
    <w:p>
      <w:pPr>
        <w:spacing w:before="120" w:after="120"/>
        <w:rPr>
          <w:rFonts w:ascii="Arial" w:hAnsi="Arial" w:cs="Arial"/>
          <w:b/>
          <w:bCs/>
          <w:sz w:val="22"/>
          <w:szCs w:val="22"/>
        </w:rPr>
      </w:pPr>
      <w:r>
        <w:rPr>
          <w:rFonts w:hint="eastAsia" w:ascii="Arial" w:hAnsi="Arial" w:cs="Arial"/>
          <w:b/>
          <w:bCs/>
          <w:sz w:val="22"/>
          <w:szCs w:val="22"/>
        </w:rPr>
        <w:t>Athens</w:t>
      </w:r>
      <w:r>
        <w:rPr>
          <w:rFonts w:ascii="Arial" w:hAnsi="Arial" w:cs="Arial"/>
          <w:b/>
          <w:bCs/>
          <w:sz w:val="22"/>
          <w:szCs w:val="22"/>
          <w:lang w:eastAsia="ja-JP"/>
        </w:rPr>
        <w:t xml:space="preserve">, </w:t>
      </w:r>
      <w:r>
        <w:rPr>
          <w:rFonts w:hint="eastAsia" w:ascii="Arial" w:hAnsi="Arial" w:cs="Arial"/>
          <w:b/>
          <w:bCs/>
          <w:sz w:val="22"/>
          <w:szCs w:val="22"/>
        </w:rPr>
        <w:t>Greece, Feb 26</w:t>
      </w:r>
      <w:r>
        <w:rPr>
          <w:rFonts w:hint="eastAsia" w:ascii="Arial" w:hAnsi="Arial" w:cs="Arial"/>
          <w:b/>
          <w:bCs/>
          <w:sz w:val="22"/>
          <w:szCs w:val="22"/>
          <w:vertAlign w:val="superscript"/>
        </w:rPr>
        <w:t>th</w:t>
      </w:r>
      <w:r>
        <w:rPr>
          <w:rFonts w:ascii="Arial" w:hAnsi="Arial" w:eastAsia="MS Mincho" w:cs="Arial"/>
          <w:b/>
          <w:bCs/>
          <w:sz w:val="22"/>
          <w:szCs w:val="22"/>
        </w:rPr>
        <w:t xml:space="preserve"> – </w:t>
      </w:r>
      <w:r>
        <w:rPr>
          <w:rFonts w:hint="eastAsia" w:ascii="Arial" w:hAnsi="Arial" w:cs="Arial"/>
          <w:b/>
          <w:bCs/>
          <w:sz w:val="22"/>
          <w:szCs w:val="22"/>
        </w:rPr>
        <w:t>Mar 1</w:t>
      </w:r>
      <w:r>
        <w:rPr>
          <w:rFonts w:hint="eastAsia" w:ascii="Arial" w:hAnsi="Arial" w:cs="Arial"/>
          <w:b/>
          <w:bCs/>
          <w:sz w:val="22"/>
          <w:szCs w:val="22"/>
          <w:vertAlign w:val="superscript"/>
        </w:rPr>
        <w:t>st</w:t>
      </w:r>
      <w:r>
        <w:rPr>
          <w:rFonts w:ascii="Arial" w:hAnsi="Arial" w:cs="Arial"/>
          <w:b/>
          <w:bCs/>
          <w:sz w:val="22"/>
          <w:szCs w:val="22"/>
          <w:lang w:eastAsia="ja-JP"/>
        </w:rPr>
        <w:t>, 202</w:t>
      </w:r>
      <w:r>
        <w:rPr>
          <w:rFonts w:hint="eastAsia" w:ascii="Arial" w:hAnsi="Arial" w:cs="Arial"/>
          <w:b/>
          <w:bCs/>
          <w:sz w:val="22"/>
          <w:szCs w:val="22"/>
        </w:rPr>
        <w:t>4</w:t>
      </w:r>
    </w:p>
    <w:p>
      <w:pPr>
        <w:tabs>
          <w:tab w:val="center" w:pos="4536"/>
          <w:tab w:val="right" w:pos="9072"/>
        </w:tabs>
        <w:spacing w:before="120" w:after="120"/>
        <w:rPr>
          <w:rFonts w:ascii="Arial" w:hAnsi="Arial" w:cs="Arial"/>
          <w:b/>
          <w:bCs/>
          <w:sz w:val="22"/>
          <w:szCs w:val="22"/>
        </w:rPr>
      </w:pPr>
    </w:p>
    <w:p>
      <w:pPr>
        <w:tabs>
          <w:tab w:val="left" w:pos="1985"/>
        </w:tabs>
        <w:spacing w:before="240" w:beforeLines="10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hint="eastAsia" w:ascii="Arial" w:hAnsi="Arial"/>
          <w:b/>
          <w:sz w:val="22"/>
          <w:szCs w:val="22"/>
        </w:rPr>
        <w:t>Discussion on measurement gap for XR</w:t>
      </w:r>
    </w:p>
    <w:p>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b/>
          <w:sz w:val="22"/>
          <w:szCs w:val="22"/>
        </w:rPr>
        <w:t>ZTE, Sanechips</w:t>
      </w:r>
    </w:p>
    <w:p>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Pr>
          <w:rFonts w:hint="eastAsia" w:ascii="Arial" w:hAnsi="Arial"/>
          <w:b/>
          <w:sz w:val="22"/>
          <w:szCs w:val="22"/>
        </w:rPr>
        <w:t>9.10.1</w:t>
      </w:r>
    </w:p>
    <w:p>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hint="eastAsia" w:ascii="Arial" w:hAnsi="Arial"/>
          <w:b/>
          <w:sz w:val="22"/>
          <w:szCs w:val="22"/>
        </w:rPr>
        <w:t>Discussion</w:t>
      </w:r>
      <w:r>
        <w:rPr>
          <w:rFonts w:ascii="Arial" w:hAnsi="Arial"/>
          <w:b/>
          <w:sz w:val="22"/>
          <w:szCs w:val="22"/>
        </w:rPr>
        <w:t xml:space="preserve"> and decision</w:t>
      </w:r>
    </w:p>
    <w:p>
      <w:pPr>
        <w:pStyle w:val="2"/>
        <w:spacing w:before="120" w:after="120"/>
        <w:ind w:left="0"/>
        <w:rPr>
          <w:rFonts w:eastAsia="宋体"/>
        </w:rPr>
      </w:pPr>
      <w:r>
        <w:rPr>
          <w:rFonts w:hint="eastAsia" w:eastAsia="宋体"/>
        </w:rPr>
        <w:t>Introduction</w:t>
      </w:r>
    </w:p>
    <w:p>
      <w:pPr>
        <w:spacing w:before="120" w:after="120"/>
        <w:rPr>
          <w:szCs w:val="21"/>
        </w:rPr>
      </w:pPr>
      <w:r>
        <w:rPr>
          <w:rFonts w:hint="eastAsia"/>
          <w:szCs w:val="21"/>
        </w:rPr>
        <w:t xml:space="preserve"> In RAN#102, the work item of XR was approved, and following objective is to RAN1 [1].</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1" w:type="dxa"/>
          </w:tcPr>
          <w:p>
            <w:pPr>
              <w:pStyle w:val="72"/>
              <w:numPr>
                <w:ilvl w:val="0"/>
                <w:numId w:val="5"/>
              </w:numPr>
              <w:spacing w:before="120" w:after="120"/>
              <w:rPr>
                <w:i w:val="0"/>
                <w:iCs/>
                <w:szCs w:val="21"/>
              </w:rPr>
            </w:pPr>
            <w:r>
              <w:rPr>
                <w:i w:val="0"/>
                <w:iCs/>
                <w:szCs w:val="21"/>
              </w:rPr>
              <w:t xml:space="preserve">Specify enhancements to enable transmission/reception in gaps/restrictions that are caused by RRM measurements (from inter-frequency RRM measurement gaps, or intra-frequency measurements, or other scheduling restrictions etc). [RAN1, RAN2, RAN4] </w:t>
            </w:r>
          </w:p>
          <w:p>
            <w:pPr>
              <w:pStyle w:val="72"/>
              <w:numPr>
                <w:ilvl w:val="1"/>
                <w:numId w:val="5"/>
              </w:numPr>
              <w:spacing w:before="120" w:after="120"/>
              <w:rPr>
                <w:lang w:eastAsia="zh-CN"/>
              </w:rPr>
            </w:pPr>
            <w:r>
              <w:rPr>
                <w:i w:val="0"/>
                <w:iCs/>
                <w:szCs w:val="21"/>
              </w:rPr>
              <w:t>Specify the corresponding measurement gap and scheduling restriction to enable the identified enhancements with RRM performance impact taken into consideration, work being triggered by LS. [RAN4]</w:t>
            </w:r>
          </w:p>
        </w:tc>
      </w:tr>
    </w:tbl>
    <w:p>
      <w:pPr>
        <w:spacing w:before="120" w:after="120"/>
        <w:rPr>
          <w:szCs w:val="21"/>
        </w:rPr>
      </w:pPr>
      <w:r>
        <w:rPr>
          <w:rFonts w:hint="eastAsia"/>
          <w:szCs w:val="21"/>
        </w:rPr>
        <w:t>In this paper, we discuss the scope of RRM and gap/restrictions in Chapter 2 firstly, and also provide potential enhancements to enable Tx/Rx in gap/restrictions, which includes the way of indicating the transmission and reception restriction relaxation, and the granularity of relaxed occasion(s) in the gaps/restriction.</w:t>
      </w:r>
    </w:p>
    <w:p>
      <w:pPr>
        <w:pStyle w:val="2"/>
        <w:spacing w:before="120" w:after="120"/>
        <w:ind w:left="0"/>
      </w:pPr>
      <w:r>
        <w:rPr>
          <w:rFonts w:hint="eastAsia" w:eastAsia="宋体"/>
        </w:rPr>
        <w:t>RRM measurement with transmission/reception restriction</w:t>
      </w:r>
    </w:p>
    <w:p>
      <w:pPr>
        <w:spacing w:before="120" w:after="120"/>
      </w:pPr>
      <w:r>
        <w:rPr>
          <w:rFonts w:hint="eastAsia"/>
        </w:rPr>
        <w:t>In this objective, RRM measurement enhancement is discussed to enable transmission/reception during gaps/restrictions that are caused by RRM measurements, where the measurements include, e.g., inter-frequency measurement, intra-frequency measurement. Moreover, according to [2], the RRM measurement resources comprise SSB and CSI-RS. Therefore, the typical measurement cases are listed as follows:</w:t>
      </w:r>
    </w:p>
    <w:p>
      <w:pPr>
        <w:numPr>
          <w:ilvl w:val="0"/>
          <w:numId w:val="6"/>
        </w:numPr>
        <w:spacing w:before="120" w:after="120"/>
      </w:pPr>
      <w:r>
        <w:rPr>
          <w:rFonts w:hint="eastAsia"/>
        </w:rPr>
        <w:t>SSB-based intra-frequency measurement</w:t>
      </w:r>
    </w:p>
    <w:p>
      <w:pPr>
        <w:numPr>
          <w:ilvl w:val="0"/>
          <w:numId w:val="6"/>
        </w:numPr>
        <w:spacing w:before="120" w:after="120"/>
      </w:pPr>
      <w:r>
        <w:rPr>
          <w:rFonts w:hint="eastAsia"/>
        </w:rPr>
        <w:t>SSB-based inter-frequency measurement</w:t>
      </w:r>
    </w:p>
    <w:p>
      <w:pPr>
        <w:numPr>
          <w:ilvl w:val="0"/>
          <w:numId w:val="6"/>
        </w:numPr>
        <w:spacing w:before="120" w:after="120"/>
      </w:pPr>
      <w:r>
        <w:rPr>
          <w:rFonts w:hint="eastAsia"/>
        </w:rPr>
        <w:t>CSI-RS based intra-frequency L3 measurements</w:t>
      </w:r>
    </w:p>
    <w:p>
      <w:pPr>
        <w:numPr>
          <w:ilvl w:val="0"/>
          <w:numId w:val="6"/>
        </w:numPr>
        <w:spacing w:before="120" w:after="120"/>
      </w:pPr>
      <w:r>
        <w:rPr>
          <w:rFonts w:hint="eastAsia"/>
        </w:rPr>
        <w:t>CSI-RS based inter-frequency L3 measurements</w:t>
      </w:r>
    </w:p>
    <w:p>
      <w:pPr>
        <w:spacing w:before="120" w:after="120"/>
      </w:pPr>
      <w:r>
        <w:rPr>
          <w:rFonts w:hint="eastAsia"/>
        </w:rPr>
        <w:t xml:space="preserve">In Rel-18 [3], RRM measurement is further enhanced with L1/L2 triggered mobility, which includes: </w:t>
      </w:r>
    </w:p>
    <w:p>
      <w:pPr>
        <w:numPr>
          <w:ilvl w:val="0"/>
          <w:numId w:val="6"/>
        </w:numPr>
        <w:spacing w:before="120" w:after="120"/>
      </w:pPr>
      <w:r>
        <w:rPr>
          <w:rFonts w:hint="eastAsia"/>
        </w:rPr>
        <w:t>Intra-frequency L1-RSRP measurement</w:t>
      </w:r>
    </w:p>
    <w:p>
      <w:pPr>
        <w:numPr>
          <w:ilvl w:val="0"/>
          <w:numId w:val="6"/>
        </w:numPr>
        <w:spacing w:before="120" w:after="120"/>
      </w:pPr>
      <w:r>
        <w:rPr>
          <w:rFonts w:hint="eastAsia"/>
        </w:rPr>
        <w:t>Inter-frequency L1-RSRP measurement</w:t>
      </w:r>
    </w:p>
    <w:p>
      <w:pPr>
        <w:spacing w:before="120" w:after="120"/>
      </w:pPr>
      <w:r>
        <w:rPr>
          <w:rFonts w:hint="eastAsia"/>
        </w:rPr>
        <w:t xml:space="preserve">To this end, we think the above RRM measurement cases should be considered to enable </w:t>
      </w:r>
      <w:r>
        <w:rPr>
          <w:iCs/>
          <w:szCs w:val="21"/>
        </w:rPr>
        <w:t>transmission/reception in gaps/restrictions that are caused by RRM measurements</w:t>
      </w:r>
      <w:r>
        <w:rPr>
          <w:rFonts w:hint="eastAsia"/>
        </w:rPr>
        <w:t>.</w:t>
      </w:r>
    </w:p>
    <w:p>
      <w:pPr>
        <w:pStyle w:val="63"/>
        <w:spacing w:before="120" w:after="120"/>
        <w:jc w:val="both"/>
        <w:rPr>
          <w:lang w:val="en-US" w:eastAsia="zh-CN"/>
        </w:rPr>
      </w:pPr>
      <w:bookmarkStart w:id="0" w:name="_Toc30287"/>
      <w:r>
        <w:rPr>
          <w:rFonts w:hint="eastAsia"/>
          <w:lang w:val="en-US" w:eastAsia="zh-CN"/>
        </w:rPr>
        <w:t>The use cases for enhancements to enable transmission/reception in gaps/restrictions that caused by RRM measurement includes:</w:t>
      </w:r>
      <w:bookmarkEnd w:id="0"/>
      <w:r>
        <w:rPr>
          <w:rFonts w:hint="eastAsia"/>
          <w:lang w:val="en-US" w:eastAsia="zh-CN"/>
        </w:rPr>
        <w:t xml:space="preserve"> </w:t>
      </w:r>
    </w:p>
    <w:p>
      <w:pPr>
        <w:pStyle w:val="63"/>
        <w:numPr>
          <w:ilvl w:val="0"/>
          <w:numId w:val="7"/>
        </w:numPr>
        <w:tabs>
          <w:tab w:val="clear" w:pos="420"/>
        </w:tabs>
        <w:spacing w:before="120" w:after="120"/>
        <w:jc w:val="both"/>
        <w:rPr>
          <w:lang w:val="en-US" w:eastAsia="zh-CN"/>
        </w:rPr>
      </w:pPr>
      <w:bookmarkStart w:id="1" w:name="_Toc28453"/>
      <w:r>
        <w:rPr>
          <w:rFonts w:hint="eastAsia"/>
          <w:lang w:val="en-US" w:eastAsia="zh-CN"/>
        </w:rPr>
        <w:t>SSB-based intra/inter-frequency measurement</w:t>
      </w:r>
      <w:bookmarkEnd w:id="1"/>
    </w:p>
    <w:p>
      <w:pPr>
        <w:pStyle w:val="63"/>
        <w:numPr>
          <w:ilvl w:val="0"/>
          <w:numId w:val="7"/>
        </w:numPr>
        <w:tabs>
          <w:tab w:val="clear" w:pos="420"/>
        </w:tabs>
        <w:spacing w:before="120" w:after="120"/>
        <w:jc w:val="both"/>
        <w:rPr>
          <w:lang w:val="en-US" w:eastAsia="zh-CN"/>
        </w:rPr>
      </w:pPr>
      <w:bookmarkStart w:id="2" w:name="_Toc26355"/>
      <w:r>
        <w:rPr>
          <w:rFonts w:hint="eastAsia"/>
          <w:lang w:val="en-US" w:eastAsia="zh-CN"/>
        </w:rPr>
        <w:t>CSI-RS based intra/inter-frequency L3 measurement</w:t>
      </w:r>
      <w:bookmarkEnd w:id="2"/>
    </w:p>
    <w:p>
      <w:pPr>
        <w:pStyle w:val="63"/>
        <w:numPr>
          <w:ilvl w:val="0"/>
          <w:numId w:val="7"/>
        </w:numPr>
        <w:tabs>
          <w:tab w:val="clear" w:pos="420"/>
        </w:tabs>
        <w:spacing w:before="120" w:after="120"/>
        <w:jc w:val="both"/>
        <w:rPr>
          <w:lang w:val="en-US" w:eastAsia="zh-CN"/>
        </w:rPr>
      </w:pPr>
      <w:bookmarkStart w:id="3" w:name="_Toc21646"/>
      <w:r>
        <w:rPr>
          <w:rFonts w:hint="eastAsia"/>
          <w:lang w:val="en-US" w:eastAsia="zh-CN"/>
        </w:rPr>
        <w:t>Intra/inter-frequency L1-RSRP measurement</w:t>
      </w:r>
      <w:bookmarkEnd w:id="3"/>
    </w:p>
    <w:p>
      <w:pPr>
        <w:pStyle w:val="3"/>
        <w:spacing w:before="120" w:after="120"/>
        <w:ind w:left="991" w:right="210" w:hanging="991" w:hangingChars="354"/>
      </w:pPr>
      <w:r>
        <w:rPr>
          <w:rFonts w:hint="eastAsia" w:eastAsia="宋体"/>
        </w:rPr>
        <w:t>Gaps/restrictions in current specifications</w:t>
      </w:r>
    </w:p>
    <w:p>
      <w:pPr>
        <w:spacing w:before="120" w:after="120"/>
      </w:pPr>
      <w:r>
        <w:rPr>
          <w:rFonts w:hint="eastAsia"/>
        </w:rPr>
        <w:t>Based on the aforementioned RRM measurement scenarios, the gaps/restrictions in current specifications are mainly classified on the following cases:</w:t>
      </w:r>
    </w:p>
    <w:p>
      <w:pPr>
        <w:numPr>
          <w:ilvl w:val="0"/>
          <w:numId w:val="6"/>
        </w:numPr>
        <w:spacing w:before="120" w:after="120"/>
      </w:pPr>
      <w:r>
        <w:rPr>
          <w:rFonts w:hint="eastAsia"/>
        </w:rPr>
        <w:t>Measurement gap</w:t>
      </w:r>
    </w:p>
    <w:p>
      <w:pPr>
        <w:numPr>
          <w:ilvl w:val="0"/>
          <w:numId w:val="6"/>
        </w:numPr>
        <w:spacing w:before="120" w:after="120"/>
      </w:pPr>
      <w:r>
        <w:rPr>
          <w:rFonts w:hint="eastAsia"/>
        </w:rPr>
        <w:t>SMTC window</w:t>
      </w:r>
    </w:p>
    <w:p>
      <w:pPr>
        <w:numPr>
          <w:ilvl w:val="0"/>
          <w:numId w:val="6"/>
        </w:numPr>
        <w:spacing w:before="120" w:after="120"/>
      </w:pPr>
      <w:r>
        <w:rPr>
          <w:rFonts w:hint="eastAsia"/>
        </w:rPr>
        <w:t>Network control small gaps</w:t>
      </w:r>
    </w:p>
    <w:p>
      <w:pPr>
        <w:spacing w:before="120" w:after="120"/>
        <w:rPr>
          <w:b/>
          <w:bCs/>
          <w:u w:val="single"/>
        </w:rPr>
      </w:pPr>
      <w:r>
        <w:rPr>
          <w:rFonts w:hint="eastAsia"/>
          <w:b/>
          <w:bCs/>
          <w:u w:val="single"/>
        </w:rPr>
        <w:t>Measurement gap</w:t>
      </w:r>
    </w:p>
    <w:p>
      <w:pPr>
        <w:spacing w:before="120" w:after="120"/>
      </w:pPr>
      <w:r>
        <w:rPr>
          <w:rFonts w:hint="eastAsia"/>
        </w:rPr>
        <w:t xml:space="preserve">The measurement gap can be configured by RRC parameters, i.e., </w:t>
      </w:r>
      <w:r>
        <w:rPr>
          <w:rFonts w:hint="eastAsia"/>
          <w:i/>
          <w:iCs/>
        </w:rPr>
        <w:t>gapOffset</w:t>
      </w:r>
      <w:r>
        <w:rPr>
          <w:rFonts w:hint="eastAsia"/>
        </w:rPr>
        <w:t xml:space="preserve">, </w:t>
      </w:r>
      <w:r>
        <w:rPr>
          <w:rFonts w:hint="eastAsia"/>
          <w:i/>
          <w:iCs/>
        </w:rPr>
        <w:t>Measurement Gap Length</w:t>
      </w:r>
      <w:r>
        <w:rPr>
          <w:rFonts w:hint="eastAsia"/>
        </w:rPr>
        <w:t xml:space="preserve"> (MGL) and </w:t>
      </w:r>
      <w:r>
        <w:rPr>
          <w:rFonts w:hint="eastAsia"/>
          <w:i/>
          <w:iCs/>
        </w:rPr>
        <w:t>Measurement Gap Repetition Period</w:t>
      </w:r>
      <w:r>
        <w:rPr>
          <w:rFonts w:hint="eastAsia"/>
        </w:rPr>
        <w:t xml:space="preserve"> (MGRP) based on Table 9.1.2-1 in [2]. Assuming measurement gap configuration is as follow: </w:t>
      </w:r>
      <w:r>
        <w:rPr>
          <w:rFonts w:hint="eastAsia"/>
          <w:i/>
          <w:iCs/>
        </w:rPr>
        <w:t>gapOffset</w:t>
      </w:r>
      <w:r>
        <w:rPr>
          <w:rFonts w:hint="eastAsia"/>
        </w:rPr>
        <w:t xml:space="preserve"> = 3ms, MGRP=20ms and MGL=6ms, the exact measurement gap is shown in Figure 1.</w:t>
      </w:r>
    </w:p>
    <w:p>
      <w:pPr>
        <w:spacing w:before="120" w:after="120"/>
      </w:pPr>
      <w:r>
        <w:rPr>
          <w:rFonts w:hint="eastAsia"/>
        </w:rPr>
        <w:drawing>
          <wp:inline distT="0" distB="0" distL="114300" distR="114300">
            <wp:extent cx="6130925" cy="1557655"/>
            <wp:effectExtent l="0" t="0" r="3175" b="0"/>
            <wp:docPr id="3" name="图片 3" descr="Measurement gap定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Measurement gap定义"/>
                    <pic:cNvPicPr>
                      <a:picLocks noChangeAspect="1"/>
                    </pic:cNvPicPr>
                  </pic:nvPicPr>
                  <pic:blipFill>
                    <a:blip r:embed="rId12"/>
                    <a:stretch>
                      <a:fillRect/>
                    </a:stretch>
                  </pic:blipFill>
                  <pic:spPr>
                    <a:xfrm>
                      <a:off x="0" y="0"/>
                      <a:ext cx="6130925" cy="1557655"/>
                    </a:xfrm>
                    <a:prstGeom prst="rect">
                      <a:avLst/>
                    </a:prstGeom>
                  </pic:spPr>
                </pic:pic>
              </a:graphicData>
            </a:graphic>
          </wp:inline>
        </w:drawing>
      </w:r>
    </w:p>
    <w:p>
      <w:pPr>
        <w:spacing w:before="120" w:after="120"/>
        <w:jc w:val="center"/>
      </w:pPr>
      <w:r>
        <w:rPr>
          <w:rFonts w:hint="eastAsia"/>
        </w:rPr>
        <w:t>Figure 1 Example of measurement gap configuration (</w:t>
      </w:r>
      <w:r>
        <w:rPr>
          <w:rFonts w:hint="eastAsia"/>
          <w:i/>
          <w:iCs/>
        </w:rPr>
        <w:t>gapOffset</w:t>
      </w:r>
      <w:r>
        <w:rPr>
          <w:rFonts w:hint="eastAsia"/>
        </w:rPr>
        <w:t xml:space="preserve">=3ms, </w:t>
      </w:r>
      <w:r>
        <w:rPr>
          <w:rFonts w:hint="eastAsia"/>
          <w:i/>
          <w:iCs/>
        </w:rPr>
        <w:t>MGRP</w:t>
      </w:r>
      <w:r>
        <w:rPr>
          <w:rFonts w:hint="eastAsia"/>
        </w:rPr>
        <w:t xml:space="preserve">=20ms, </w:t>
      </w:r>
      <w:r>
        <w:rPr>
          <w:rFonts w:hint="eastAsia"/>
          <w:i/>
          <w:iCs/>
        </w:rPr>
        <w:t>MGL</w:t>
      </w:r>
      <w:r>
        <w:rPr>
          <w:rFonts w:hint="eastAsia"/>
        </w:rPr>
        <w:t>=6ms)</w:t>
      </w:r>
    </w:p>
    <w:p>
      <w:pPr>
        <w:spacing w:before="120" w:after="120"/>
      </w:pPr>
      <w:r>
        <w:rPr>
          <w:rFonts w:hint="eastAsia"/>
        </w:rPr>
        <w:t>Besides, according to specification [2], the UE</w:t>
      </w:r>
      <w:r>
        <w:t>’</w:t>
      </w:r>
      <w:r>
        <w:rPr>
          <w:rFonts w:hint="eastAsia"/>
        </w:rPr>
        <w:t>s behaviour in measurement gap is described as follows. That is, the reception/transmission would be restricted in whole per-UE measurement gap or per-FR measurement gap.</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120" w:after="120"/>
              <w:rPr>
                <w:b/>
                <w:bCs/>
              </w:rPr>
            </w:pPr>
            <w:r>
              <w:rPr>
                <w:rFonts w:hint="eastAsia"/>
                <w:b/>
                <w:bCs/>
              </w:rPr>
              <w:t>TS 38.133</w:t>
            </w:r>
          </w:p>
          <w:p>
            <w:pPr>
              <w:spacing w:before="120" w:after="120"/>
              <w:rPr>
                <w:b/>
                <w:bCs/>
                <w:u w:val="single"/>
              </w:rPr>
            </w:pPr>
            <w:r>
              <w:rPr>
                <w:rFonts w:hint="eastAsia"/>
                <w:b/>
                <w:bCs/>
                <w:u w:val="single"/>
              </w:rPr>
              <w:t>9.1.2 Measurement gap</w:t>
            </w:r>
          </w:p>
          <w:p>
            <w:pPr>
              <w:spacing w:before="120" w:after="120"/>
            </w:pPr>
            <w:r>
              <w:rPr>
                <w:rFonts w:hint="eastAsia"/>
              </w:rPr>
              <w:t>During the per-UE measurement gaps the UE</w:t>
            </w:r>
          </w:p>
          <w:p>
            <w:pPr>
              <w:pStyle w:val="66"/>
              <w:spacing w:before="120" w:after="120"/>
            </w:pPr>
            <w:r>
              <w:t>-</w:t>
            </w:r>
            <w:r>
              <w:tab/>
            </w:r>
            <w:r>
              <w:t xml:space="preserve">is not required to conduct reception/transmission from/to the corresponding E-UTRAN PCell, E-UTRAN SCell(s) and NR serving cells for E-UTRA-NR dual connectivity except the reception of signals used for RRM measurement(s) and the signals used for random access procedure according to </w:t>
            </w:r>
            <w:r>
              <w:rPr>
                <w:rFonts w:hint="eastAsia"/>
              </w:rPr>
              <w:t>TS</w:t>
            </w:r>
            <w:r>
              <w:t>38.321 [7].</w:t>
            </w:r>
          </w:p>
          <w:p>
            <w:pPr>
              <w:pStyle w:val="66"/>
              <w:spacing w:before="120" w:after="120"/>
            </w:pPr>
            <w:r>
              <w:rPr>
                <w:rFonts w:eastAsia="Malgun Gothic"/>
                <w:lang w:eastAsia="ko-KR"/>
              </w:rPr>
              <w:t>-</w:t>
            </w:r>
            <w:r>
              <w:rPr>
                <w:rFonts w:eastAsia="Malgun Gothic"/>
                <w:lang w:eastAsia="ko-KR"/>
              </w:rPr>
              <w:tab/>
            </w:r>
            <w:r>
              <w:t>is not required to conduct reception/transmission from/to the corresponding NR serving cells for SA (with single carrier or CA configured) except the reception of signals used for RRM measurement(s), PRS measurement(s) and the signals used for random access procedure according to [7].</w:t>
            </w:r>
          </w:p>
          <w:p>
            <w:pPr>
              <w:spacing w:before="120" w:after="120"/>
            </w:pPr>
            <w:r>
              <w:rPr>
                <w:rFonts w:hint="eastAsia"/>
              </w:rPr>
              <w:t>&lt;Omit&gt;</w:t>
            </w:r>
          </w:p>
          <w:p>
            <w:pPr>
              <w:spacing w:before="120" w:after="120"/>
            </w:pPr>
            <w:r>
              <w:t>During the per-FR measurement gaps the UE:</w:t>
            </w:r>
          </w:p>
          <w:p>
            <w:pPr>
              <w:pStyle w:val="66"/>
              <w:spacing w:before="120" w:after="120"/>
            </w:pPr>
            <w:r>
              <w:t>-</w:t>
            </w:r>
            <w:r>
              <w:tab/>
            </w:r>
            <w:r>
              <w:t>is not required to conduct reception/transmission from/to the corresponding E-UTRAN PCell, E-UTRAN SCell(s) and NR serving cells in the corresponding frequency range for E-UTRA-NR dual connectivity except the reception of signals used for RRM measurement(s) and the signals used for random access procedure according to TS38.321 [7].</w:t>
            </w:r>
          </w:p>
          <w:p>
            <w:pPr>
              <w:spacing w:before="120" w:after="120"/>
            </w:pPr>
            <w:r>
              <w:rPr>
                <w:rFonts w:eastAsia="Malgun Gothic"/>
                <w:lang w:eastAsia="ko-KR"/>
              </w:rPr>
              <w:t>-</w:t>
            </w:r>
            <w:r>
              <w:rPr>
                <w:rFonts w:eastAsia="Malgun Gothic"/>
                <w:lang w:eastAsia="ko-KR"/>
              </w:rPr>
              <w:tab/>
            </w:r>
            <w:r>
              <w:t>is not required to conduct reception/transmission from/to the corresponding NR serving cells in the corresponding frequency range for SA (with single carrier or CA configured) except the reception of signals used for RRM measurement(s), PRS measurement(s) and the signals used for random access procedure according to TS38.321 [7].</w:t>
            </w:r>
          </w:p>
          <w:p>
            <w:pPr>
              <w:spacing w:before="120" w:after="120"/>
            </w:pPr>
            <w:r>
              <w:rPr>
                <w:rFonts w:hint="eastAsia"/>
              </w:rPr>
              <w:t>&lt;Omit&gt;</w:t>
            </w:r>
          </w:p>
        </w:tc>
      </w:tr>
    </w:tbl>
    <w:p>
      <w:pPr>
        <w:spacing w:before="120" w:after="120"/>
        <w:rPr>
          <w:b/>
          <w:bCs/>
          <w:u w:val="single"/>
        </w:rPr>
      </w:pPr>
      <w:r>
        <w:rPr>
          <w:rFonts w:hint="eastAsia"/>
          <w:b/>
          <w:bCs/>
          <w:u w:val="single"/>
        </w:rPr>
        <w:t>SMTC window</w:t>
      </w:r>
    </w:p>
    <w:p>
      <w:pPr>
        <w:spacing w:before="120" w:after="120"/>
      </w:pPr>
      <w:r>
        <w:rPr>
          <w:rFonts w:hint="eastAsia"/>
        </w:rPr>
        <w:t xml:space="preserve">SMTC window is used to specify the timing occasions at which UE measures SSBs for measurements </w:t>
      </w:r>
      <w:r>
        <w:rPr>
          <w:rFonts w:hint="eastAsia"/>
          <w:b/>
          <w:bCs/>
        </w:rPr>
        <w:t>without measurement gap</w:t>
      </w:r>
      <w:r>
        <w:rPr>
          <w:rFonts w:hint="eastAsia"/>
        </w:rPr>
        <w:t xml:space="preserve">. It can be configured by RRC parameters, i.e., </w:t>
      </w:r>
      <w:r>
        <w:rPr>
          <w:rFonts w:hint="eastAsia"/>
          <w:i/>
          <w:iCs/>
        </w:rPr>
        <w:t xml:space="preserve">periodicityAndOffset </w:t>
      </w:r>
      <w:r>
        <w:rPr>
          <w:rFonts w:hint="eastAsia"/>
        </w:rPr>
        <w:t xml:space="preserve">and </w:t>
      </w:r>
      <w:r>
        <w:rPr>
          <w:rFonts w:hint="eastAsia"/>
          <w:i/>
          <w:iCs/>
        </w:rPr>
        <w:t xml:space="preserve">duration </w:t>
      </w:r>
      <w:r>
        <w:rPr>
          <w:rFonts w:hint="eastAsia"/>
        </w:rPr>
        <w:t>in SSB-MTC IE [4]. And it is relevant to the configured SSB pattern in the cell. For better understanding, one example of SMTC window is depicted in Figure 2.</w:t>
      </w:r>
    </w:p>
    <w:p>
      <w:pPr>
        <w:spacing w:before="120" w:after="120"/>
      </w:pPr>
      <w:r>
        <w:drawing>
          <wp:inline distT="0" distB="0" distL="114300" distR="114300">
            <wp:extent cx="6130925" cy="1551305"/>
            <wp:effectExtent l="0" t="0" r="3175" b="0"/>
            <wp:docPr id="5" name="图片 5" descr="SMTC window定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SMTC window定义"/>
                    <pic:cNvPicPr>
                      <a:picLocks noChangeAspect="1"/>
                    </pic:cNvPicPr>
                  </pic:nvPicPr>
                  <pic:blipFill>
                    <a:blip r:embed="rId13"/>
                    <a:stretch>
                      <a:fillRect/>
                    </a:stretch>
                  </pic:blipFill>
                  <pic:spPr>
                    <a:xfrm>
                      <a:off x="0" y="0"/>
                      <a:ext cx="6130925" cy="1551305"/>
                    </a:xfrm>
                    <a:prstGeom prst="rect">
                      <a:avLst/>
                    </a:prstGeom>
                  </pic:spPr>
                </pic:pic>
              </a:graphicData>
            </a:graphic>
          </wp:inline>
        </w:drawing>
      </w:r>
    </w:p>
    <w:p>
      <w:pPr>
        <w:spacing w:before="120" w:after="120"/>
        <w:jc w:val="center"/>
      </w:pPr>
      <w:r>
        <w:rPr>
          <w:rFonts w:hint="eastAsia"/>
        </w:rPr>
        <w:t>Figure 2 Example of SMTC window(</w:t>
      </w:r>
      <w:r>
        <w:rPr>
          <w:rFonts w:hint="eastAsia"/>
          <w:i/>
          <w:iCs/>
        </w:rPr>
        <w:t xml:space="preserve">periodicityAndOffset </w:t>
      </w:r>
      <w:r>
        <w:rPr>
          <w:rFonts w:hint="eastAsia"/>
        </w:rPr>
        <w:t xml:space="preserve">= sf20 &amp; sf3; </w:t>
      </w:r>
      <w:r>
        <w:rPr>
          <w:rFonts w:hint="eastAsia"/>
          <w:i/>
          <w:iCs/>
        </w:rPr>
        <w:t xml:space="preserve">duration </w:t>
      </w:r>
      <w:r>
        <w:rPr>
          <w:rFonts w:hint="eastAsia"/>
        </w:rPr>
        <w:t>= sf2)</w:t>
      </w:r>
    </w:p>
    <w:p>
      <w:pPr>
        <w:spacing w:before="120" w:after="120"/>
      </w:pPr>
      <w:r>
        <w:rPr>
          <w:rFonts w:hint="eastAsia"/>
        </w:rPr>
        <w:t xml:space="preserve">For the transmission/reception restriction </w:t>
      </w:r>
      <w:r>
        <w:t>in SMTC window</w:t>
      </w:r>
      <w:r>
        <w:rPr>
          <w:rFonts w:hint="eastAsia"/>
        </w:rPr>
        <w:t>, in the case that serving cell timing to derive the index of SS block that is transmitted by neighbour cell can be acquired, the reception/transmission would be restricted in the symbols during/before/after the SSB transmission symbols. In other cases, if the serving cell timing to derive the index of SS block that is transmitted by neighbour cell cannot be acquired, the transmission/reception would be restricted in the whole SMTC window. The scheduling restriction in SMTC window in the intra-frequency measurement cases is as follows: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6"/>
              <w:numPr>
                <w:ilvl w:val="2"/>
                <w:numId w:val="0"/>
              </w:numPr>
              <w:ind w:right="210" w:rightChars="100"/>
            </w:pPr>
            <w:r>
              <w:t>9.2.5.3.2</w:t>
            </w:r>
            <w:r>
              <w:tab/>
            </w:r>
            <w:r>
              <w:t>Scheduling availability of UE performing measurements with a different subcarrier spacing than PDSCH/PDCCH on FR1</w:t>
            </w:r>
          </w:p>
          <w:p>
            <w:pPr>
              <w:spacing w:before="120" w:after="120"/>
            </w:pPr>
            <w:r>
              <w:t xml:space="preserve">For UE which do not support </w:t>
            </w:r>
            <w:r>
              <w:rPr>
                <w:i/>
              </w:rPr>
              <w:t xml:space="preserve">simultaneousRxDataSSB-DiffNumerology </w:t>
            </w:r>
            <w:r>
              <w:t>[14] the following restrictions apply due to SS-RSRP/RSRQ/SINR measurement</w:t>
            </w:r>
          </w:p>
          <w:p>
            <w:pPr>
              <w:pStyle w:val="66"/>
              <w:spacing w:before="120" w:after="120"/>
            </w:pPr>
            <w:r>
              <w:t>-</w:t>
            </w:r>
            <w:r>
              <w:tab/>
            </w:r>
            <w:r>
              <w:t xml:space="preserve">If </w:t>
            </w:r>
            <w:r>
              <w:rPr>
                <w:rFonts w:eastAsia="MS Mincho"/>
                <w:i/>
                <w:lang w:eastAsia="ja-JP"/>
              </w:rPr>
              <w:t>deriveSSB_IndexFromCell</w:t>
            </w:r>
            <w:r>
              <w:t xml:space="preserve"> is enabled the UE is not expected to transmit PUCCH/PUSCH/SRS or receive PDCCH/PDSCH/TRS/CSI-RS for CQI </w:t>
            </w:r>
            <w:r>
              <w:rPr>
                <w:highlight w:val="yellow"/>
              </w:rPr>
              <w:t>on SSB symbols to be measured, and on 1 data symbol before each consecutive SSB symbols to be measured and 1 data symbol after each consecutive SSB symbols</w:t>
            </w:r>
            <w:r>
              <w:t xml:space="preserve"> to be measured within SMTC window duration. 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pPr>
              <w:pStyle w:val="66"/>
              <w:spacing w:before="120" w:after="120"/>
            </w:pPr>
            <w:r>
              <w:t>-</w:t>
            </w:r>
            <w:r>
              <w:tab/>
            </w:r>
            <w:r>
              <w:t xml:space="preserve">If </w:t>
            </w:r>
            <w:r>
              <w:rPr>
                <w:rFonts w:eastAsia="MS Mincho"/>
                <w:i/>
                <w:lang w:eastAsia="ja-JP"/>
              </w:rPr>
              <w:t>deriveSSB_IndexFromCell</w:t>
            </w:r>
            <w:r>
              <w:t xml:space="preserve"> is </w:t>
            </w:r>
            <w:r>
              <w:rPr>
                <w:lang w:eastAsia="ko-KR"/>
              </w:rPr>
              <w:t xml:space="preserve">not </w:t>
            </w:r>
            <w:r>
              <w:t xml:space="preserve">enabled the UE is not expected to transmit PUCCH/PUSCH/SRS or receive PDCCH/PDSCH/TRS/CSI-RS for CQI </w:t>
            </w:r>
            <w:r>
              <w:rPr>
                <w:highlight w:val="yellow"/>
              </w:rPr>
              <w:t>on all symbols within SMTC window duration</w:t>
            </w:r>
            <w:r>
              <w:t xml:space="preserve">. 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tc>
      </w:tr>
    </w:tbl>
    <w:p>
      <w:pPr>
        <w:spacing w:before="120" w:after="120"/>
        <w:rPr>
          <w:b/>
          <w:bCs/>
          <w:u w:val="single"/>
        </w:rPr>
      </w:pPr>
    </w:p>
    <w:p>
      <w:pPr>
        <w:spacing w:before="120" w:after="120"/>
        <w:rPr>
          <w:b/>
          <w:bCs/>
          <w:u w:val="single"/>
        </w:rPr>
      </w:pPr>
    </w:p>
    <w:p>
      <w:pPr>
        <w:spacing w:before="120" w:after="120"/>
        <w:rPr>
          <w:b/>
          <w:bCs/>
          <w:u w:val="single"/>
        </w:rPr>
      </w:pPr>
      <w:r>
        <w:rPr>
          <w:rFonts w:hint="eastAsia"/>
          <w:b/>
          <w:bCs/>
          <w:u w:val="single"/>
        </w:rPr>
        <w:t>Network control small gap (NCSG)</w:t>
      </w:r>
    </w:p>
    <w:p>
      <w:pPr>
        <w:spacing w:before="120" w:after="120"/>
      </w:pPr>
      <w:r>
        <w:rPr>
          <w:rFonts w:hint="eastAsia"/>
        </w:rPr>
        <w:t xml:space="preserve">NCSG </w:t>
      </w:r>
      <w:r>
        <w:t>i</w:t>
      </w:r>
      <w:r>
        <w:rPr>
          <w:rFonts w:hint="eastAsia"/>
        </w:rPr>
        <w:t>s another type of RRM measurement gap. In this case, visi</w:t>
      </w:r>
      <w:bookmarkStart w:id="17" w:name="_GoBack"/>
      <w:bookmarkEnd w:id="17"/>
      <w:r>
        <w:rPr>
          <w:rFonts w:hint="eastAsia"/>
        </w:rPr>
        <w:t>ble interruption length (VIL) is introduced in NCSG, where contains a</w:t>
      </w:r>
      <w:r>
        <w:t>n</w:t>
      </w:r>
      <w:r>
        <w:rPr>
          <w:rFonts w:hint="eastAsia"/>
        </w:rPr>
        <w:t xml:space="preserve"> interruption time, implying UE cannot transmit/receive during the interruption time. As shown in Figure 3, the NCSG consists of 2 VILs and one measurement length (ML), and one VIL is before the ML and another VIL is after the ML. Typically, the duration of VIL is 1ms for FR1 and 0.75ms for FR2. </w:t>
      </w:r>
    </w:p>
    <w:p>
      <w:pPr>
        <w:spacing w:before="120" w:after="120"/>
        <w:jc w:val="center"/>
      </w:pPr>
      <w:r>
        <w:drawing>
          <wp:inline distT="0" distB="0" distL="114300" distR="114300">
            <wp:extent cx="4334510" cy="621030"/>
            <wp:effectExtent l="0" t="0" r="0" b="0"/>
            <wp:docPr id="6" name="图片 6" descr="NCSG定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NCSG定义"/>
                    <pic:cNvPicPr>
                      <a:picLocks noChangeAspect="1"/>
                    </pic:cNvPicPr>
                  </pic:nvPicPr>
                  <pic:blipFill>
                    <a:blip r:embed="rId14"/>
                    <a:stretch>
                      <a:fillRect/>
                    </a:stretch>
                  </pic:blipFill>
                  <pic:spPr>
                    <a:xfrm>
                      <a:off x="0" y="0"/>
                      <a:ext cx="4334510" cy="621030"/>
                    </a:xfrm>
                    <a:prstGeom prst="rect">
                      <a:avLst/>
                    </a:prstGeom>
                  </pic:spPr>
                </pic:pic>
              </a:graphicData>
            </a:graphic>
          </wp:inline>
        </w:drawing>
      </w:r>
    </w:p>
    <w:p>
      <w:pPr>
        <w:spacing w:before="120" w:after="120"/>
        <w:jc w:val="center"/>
      </w:pPr>
      <w:r>
        <w:rPr>
          <w:rFonts w:hint="eastAsia"/>
        </w:rPr>
        <w:t>Figure 3 The structure of network control small gap [2, Figure 9.1.9.3-1]</w:t>
      </w:r>
    </w:p>
    <w:p>
      <w:pPr>
        <w:spacing w:before="120" w:after="120"/>
      </w:pPr>
      <w:r>
        <w:rPr>
          <w:rFonts w:hint="eastAsia"/>
        </w:rPr>
        <w:t>In addition, the restriction of transmission/reception within ML is almost the same as that of SMTC window.</w:t>
      </w:r>
    </w:p>
    <w:p>
      <w:pPr>
        <w:spacing w:before="120" w:after="120"/>
        <w:rPr>
          <w:b/>
          <w:bCs/>
          <w:u w:val="single"/>
        </w:rPr>
      </w:pPr>
      <w:r>
        <w:rPr>
          <w:rFonts w:hint="eastAsia"/>
          <w:b/>
          <w:bCs/>
          <w:u w:val="single"/>
        </w:rPr>
        <w:t>Summary of section 2.1</w:t>
      </w:r>
    </w:p>
    <w:p>
      <w:pPr>
        <w:spacing w:before="120" w:after="120"/>
      </w:pPr>
      <w:r>
        <w:rPr>
          <w:rFonts w:hint="eastAsia"/>
        </w:rPr>
        <w:t>Different transmission and reception restrictions in gaps/restriction were discussed. For instance, some restrictions are confined on the symbols associated with the reference signal; while other restrictions are corresponding to whole gap</w:t>
      </w:r>
      <w:r>
        <w:t>/window</w:t>
      </w:r>
      <w:r>
        <w:rPr>
          <w:rFonts w:hint="eastAsia"/>
        </w:rPr>
        <w:t>.</w:t>
      </w:r>
    </w:p>
    <w:p>
      <w:pPr>
        <w:pStyle w:val="60"/>
        <w:spacing w:before="120" w:after="120"/>
        <w:jc w:val="both"/>
        <w:rPr>
          <w:lang w:val="en-US" w:eastAsia="zh-CN"/>
        </w:rPr>
      </w:pPr>
      <w:bookmarkStart w:id="4" w:name="_Toc28016"/>
      <w:r>
        <w:rPr>
          <w:rFonts w:hint="eastAsia"/>
          <w:lang w:val="en-US" w:eastAsia="zh-CN"/>
        </w:rPr>
        <w:t>There are basically two transmission/reception restriction</w:t>
      </w:r>
      <w:r>
        <w:rPr>
          <w:lang w:val="en-US" w:eastAsia="zh-CN"/>
        </w:rPr>
        <w:t xml:space="preserve"> type</w:t>
      </w:r>
      <w:r>
        <w:rPr>
          <w:rFonts w:hint="eastAsia"/>
          <w:lang w:val="en-US" w:eastAsia="zh-CN"/>
        </w:rPr>
        <w:t>s in current specification, i.e., either data transmission and reception</w:t>
      </w:r>
      <w:r>
        <w:rPr>
          <w:lang w:val="en-US" w:eastAsia="zh-CN"/>
        </w:rPr>
        <w:t xml:space="preserve"> restriction</w:t>
      </w:r>
      <w:r>
        <w:rPr>
          <w:rFonts w:hint="eastAsia"/>
          <w:lang w:val="en-US" w:eastAsia="zh-CN"/>
        </w:rPr>
        <w:t xml:space="preserve"> on the symbols associated with the reference signal, or data transmission and reception </w:t>
      </w:r>
      <w:r>
        <w:rPr>
          <w:lang w:val="en-US" w:eastAsia="zh-CN"/>
        </w:rPr>
        <w:t>restriction during</w:t>
      </w:r>
      <w:r>
        <w:rPr>
          <w:rFonts w:hint="eastAsia"/>
          <w:lang w:val="en-US" w:eastAsia="zh-CN"/>
        </w:rPr>
        <w:t xml:space="preserve"> the whole gap/window.</w:t>
      </w:r>
      <w:bookmarkEnd w:id="4"/>
      <w:r>
        <w:rPr>
          <w:rFonts w:hint="eastAsia"/>
          <w:lang w:val="en-US" w:eastAsia="zh-CN"/>
        </w:rPr>
        <w:t xml:space="preserve">  </w:t>
      </w:r>
    </w:p>
    <w:p>
      <w:pPr>
        <w:spacing w:before="120" w:after="120"/>
        <w:rPr>
          <w:highlight w:val="cyan"/>
        </w:rPr>
      </w:pPr>
      <w:r>
        <w:rPr>
          <w:rFonts w:hint="eastAsia"/>
        </w:rPr>
        <w:t>Towards multiple gaps/restrictions in current specification, as far as we are concerned, it seems too complex if provid</w:t>
      </w:r>
      <w:r>
        <w:t>ing</w:t>
      </w:r>
      <w:r>
        <w:rPr>
          <w:rFonts w:hint="eastAsia"/>
        </w:rPr>
        <w:t xml:space="preserve"> corresponding </w:t>
      </w:r>
      <w:r>
        <w:t>enhancements</w:t>
      </w:r>
      <w:r>
        <w:rPr>
          <w:rFonts w:hint="eastAsia"/>
        </w:rPr>
        <w:t xml:space="preserve"> for different gaps/restrictions. Due to limited </w:t>
      </w:r>
      <w:r>
        <w:t>TU budget</w:t>
      </w:r>
      <w:r>
        <w:rPr>
          <w:rFonts w:hint="eastAsia"/>
        </w:rPr>
        <w:t xml:space="preserve"> for XR agenda item, the work load should be reduced. To this regard, a unified indication solution for transmission and reception restriction relaxation in different gaps/restrictions is simpler and should be considered, e.g</w:t>
      </w:r>
      <w:r>
        <w:t>.</w:t>
      </w:r>
      <w:r>
        <w:rPr>
          <w:rFonts w:hint="eastAsia"/>
        </w:rPr>
        <w:t>, no matter from perspective of semi-persistent indication, or dynamic indication for transmission and reception restriction relaxation in gaps/restrictions.</w:t>
      </w:r>
    </w:p>
    <w:p>
      <w:pPr>
        <w:pStyle w:val="63"/>
        <w:spacing w:before="120" w:after="120"/>
        <w:jc w:val="both"/>
        <w:rPr>
          <w:lang w:val="en-US" w:eastAsia="zh-CN"/>
        </w:rPr>
      </w:pPr>
      <w:bookmarkStart w:id="5" w:name="_Toc22748"/>
      <w:r>
        <w:rPr>
          <w:rFonts w:hint="eastAsia"/>
          <w:lang w:val="en-US" w:eastAsia="zh-CN"/>
        </w:rPr>
        <w:t>Specify a unified design for various types of gaps/restriction that caused by RRM measurements to enable transmission and reception restriction relaxation.</w:t>
      </w:r>
      <w:bookmarkEnd w:id="5"/>
    </w:p>
    <w:p>
      <w:pPr>
        <w:pStyle w:val="2"/>
        <w:spacing w:before="120" w:after="120"/>
        <w:ind w:left="0"/>
      </w:pPr>
      <w:r>
        <w:rPr>
          <w:rFonts w:hint="eastAsia" w:eastAsia="宋体"/>
        </w:rPr>
        <w:t xml:space="preserve">Enhancements on transmission/reception restriction relaxation  </w:t>
      </w:r>
      <w:r>
        <w:rPr>
          <w:rFonts w:eastAsia="宋体"/>
        </w:rPr>
        <w:t xml:space="preserve"> </w:t>
      </w:r>
    </w:p>
    <w:p>
      <w:pPr>
        <w:pStyle w:val="3"/>
        <w:spacing w:before="120" w:after="120"/>
        <w:ind w:left="991" w:right="210" w:hanging="991" w:hangingChars="354"/>
        <w:rPr>
          <w:rFonts w:eastAsia="宋体"/>
        </w:rPr>
      </w:pPr>
      <w:bookmarkStart w:id="6" w:name="_Toc525"/>
      <w:bookmarkEnd w:id="6"/>
      <w:bookmarkStart w:id="7" w:name="_Toc82"/>
      <w:bookmarkEnd w:id="7"/>
      <w:bookmarkStart w:id="8" w:name="_Toc29400"/>
      <w:bookmarkEnd w:id="8"/>
      <w:bookmarkStart w:id="9" w:name="_Toc29089"/>
      <w:bookmarkEnd w:id="9"/>
      <w:r>
        <w:rPr>
          <w:rFonts w:hint="eastAsia" w:eastAsia="宋体"/>
        </w:rPr>
        <w:t>Transmission/reception restriction relaxation indication</w:t>
      </w:r>
    </w:p>
    <w:p>
      <w:pPr>
        <w:spacing w:before="120" w:after="120"/>
      </w:pPr>
      <w:r>
        <w:rPr>
          <w:rFonts w:hint="eastAsia"/>
        </w:rPr>
        <w:t xml:space="preserve">Towards the unified design to enable transmission/reception in different gaps/restriction, there are two methods, i.e., semi-persistent indication and dynamic indication. </w:t>
      </w:r>
    </w:p>
    <w:p>
      <w:pPr>
        <w:spacing w:before="120" w:after="120"/>
      </w:pPr>
      <w:r>
        <w:rPr>
          <w:rFonts w:hint="eastAsia"/>
        </w:rPr>
        <w:t>For XR traffic characterized by periodic arrival and fixed packet size, the semi-persistent indication can be considered. For example, the gaps/restriction can be configured to stagger with the duration of packet transmission as depicted in Figure 4, where the transmission and reception restriction relaxation is indicated semi-persistently (e.g., through RRC configuration), since the time of packet arrival and packet transmission are known. In our opinion, semi-persistent indication has advantage of simple implementation by e.g., RRC configuration. But it definitely loses the flexibility on scheduling relaxation in different gaps/restriction.</w:t>
      </w:r>
    </w:p>
    <w:p>
      <w:pPr>
        <w:spacing w:before="120" w:after="120"/>
      </w:pPr>
      <w:r>
        <w:drawing>
          <wp:inline distT="0" distB="0" distL="114300" distR="114300">
            <wp:extent cx="6125845" cy="2283460"/>
            <wp:effectExtent l="0" t="0" r="8255" b="254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5"/>
                    <a:stretch>
                      <a:fillRect/>
                    </a:stretch>
                  </pic:blipFill>
                  <pic:spPr>
                    <a:xfrm>
                      <a:off x="0" y="0"/>
                      <a:ext cx="6125845" cy="2283460"/>
                    </a:xfrm>
                    <a:prstGeom prst="rect">
                      <a:avLst/>
                    </a:prstGeom>
                    <a:noFill/>
                    <a:ln>
                      <a:noFill/>
                    </a:ln>
                  </pic:spPr>
                </pic:pic>
              </a:graphicData>
            </a:graphic>
          </wp:inline>
        </w:drawing>
      </w:r>
    </w:p>
    <w:p>
      <w:pPr>
        <w:spacing w:before="120" w:after="120"/>
        <w:jc w:val="center"/>
      </w:pPr>
      <w:r>
        <w:rPr>
          <w:rFonts w:hint="eastAsia"/>
        </w:rPr>
        <w:t>Figure 4 Illustration of semi-persistent indication based measurement gap</w:t>
      </w:r>
    </w:p>
    <w:p>
      <w:pPr>
        <w:pStyle w:val="60"/>
        <w:spacing w:before="120" w:after="120"/>
        <w:jc w:val="both"/>
        <w:rPr>
          <w:lang w:val="en-US" w:eastAsia="zh-CN"/>
        </w:rPr>
      </w:pPr>
      <w:bookmarkStart w:id="10" w:name="_Toc19019"/>
      <w:r>
        <w:rPr>
          <w:rFonts w:hint="eastAsia"/>
          <w:lang w:val="en-US" w:eastAsia="zh-CN"/>
        </w:rPr>
        <w:t>Semi-persistent indication can be considered for the XR traffic characterized by periodic arrival and fixed packet size, e.g., semi-persistent indication for staggering the gaps/restriction with the duration of packet transmission and semi-persistent indication for transmission and reception restriction relaxation.</w:t>
      </w:r>
      <w:bookmarkEnd w:id="10"/>
      <w:r>
        <w:rPr>
          <w:rFonts w:hint="eastAsia"/>
          <w:lang w:val="en-US" w:eastAsia="zh-CN"/>
        </w:rPr>
        <w:t xml:space="preserve"> </w:t>
      </w:r>
    </w:p>
    <w:p>
      <w:pPr>
        <w:pStyle w:val="60"/>
        <w:spacing w:before="120" w:after="120"/>
        <w:jc w:val="both"/>
        <w:rPr>
          <w:lang w:val="en-US" w:eastAsia="zh-CN"/>
        </w:rPr>
      </w:pPr>
      <w:bookmarkStart w:id="11" w:name="_Toc15303"/>
      <w:r>
        <w:rPr>
          <w:rFonts w:hint="eastAsia"/>
          <w:lang w:val="en-US" w:eastAsia="zh-CN"/>
        </w:rPr>
        <w:t>The mechanism of semi-persistent indication for transmission and reception restriction relaxation on gaps/restrictions has advantage of simple implementation but limited flexibility on data transmission and reception relaxation.</w:t>
      </w:r>
      <w:bookmarkEnd w:id="11"/>
      <w:r>
        <w:rPr>
          <w:rFonts w:hint="eastAsia"/>
          <w:lang w:val="en-US" w:eastAsia="zh-CN"/>
        </w:rPr>
        <w:t xml:space="preserve"> </w:t>
      </w:r>
    </w:p>
    <w:p>
      <w:pPr>
        <w:spacing w:before="120" w:after="120"/>
      </w:pPr>
      <w:r>
        <w:rPr>
          <w:rFonts w:hint="eastAsia"/>
        </w:rPr>
        <w:t xml:space="preserve">However, for XR traffic characterized by quasi-periodic arrival and variable packet size, the uncertainty collision between data transmission/reception and different gaps/restrictions would occur, which means it is inevitable that gap/restriction is overlapped with packet transmission, due to re-transmission caused by initial transmission failure and jitter of arrival. For example, in Figure 5, due to the good channel condition, the </w:t>
      </w:r>
      <w:r>
        <w:rPr>
          <w:rFonts w:hint="eastAsia"/>
          <w:lang w:val="en-US" w:eastAsia="zh-CN"/>
        </w:rPr>
        <w:t>packet 1 of XR traffic</w:t>
      </w:r>
      <w:r>
        <w:rPr>
          <w:rFonts w:hint="eastAsia"/>
        </w:rPr>
        <w:t xml:space="preserve"> can be transmitted in one shot, where the transmission </w:t>
      </w:r>
      <w:r>
        <w:rPr>
          <w:rFonts w:hint="eastAsia"/>
          <w:lang w:val="en-US" w:eastAsia="zh-CN"/>
        </w:rPr>
        <w:t xml:space="preserve">time </w:t>
      </w:r>
      <w:r>
        <w:rPr>
          <w:rFonts w:hint="eastAsia"/>
        </w:rPr>
        <w:t xml:space="preserve">of </w:t>
      </w:r>
      <w:r>
        <w:rPr>
          <w:rFonts w:hint="eastAsia"/>
          <w:lang w:val="en-US" w:eastAsia="zh-CN"/>
        </w:rPr>
        <w:t>the packet 1</w:t>
      </w:r>
      <w:r>
        <w:rPr>
          <w:rFonts w:hint="eastAsia"/>
        </w:rPr>
        <w:t xml:space="preserve"> is not overlapped with the measurement gap. While for the </w:t>
      </w:r>
      <w:r>
        <w:rPr>
          <w:rFonts w:hint="eastAsia"/>
          <w:lang w:val="en-US" w:eastAsia="zh-CN"/>
        </w:rPr>
        <w:t>packet 2 of XR traffic</w:t>
      </w:r>
      <w:r>
        <w:rPr>
          <w:rFonts w:hint="eastAsia"/>
        </w:rPr>
        <w:t xml:space="preserve">, due to poor channel condition, </w:t>
      </w:r>
      <w:r>
        <w:rPr>
          <w:rFonts w:hint="eastAsia"/>
          <w:lang w:val="en-US" w:eastAsia="zh-CN"/>
        </w:rPr>
        <w:t>packet 2 may be</w:t>
      </w:r>
      <w:r>
        <w:rPr>
          <w:rFonts w:hint="eastAsia"/>
        </w:rPr>
        <w:t xml:space="preserve"> re-transmitted. And the re-transmission </w:t>
      </w:r>
      <w:r>
        <w:rPr>
          <w:rFonts w:hint="eastAsia"/>
          <w:lang w:val="en-US" w:eastAsia="zh-CN"/>
        </w:rPr>
        <w:t xml:space="preserve">time </w:t>
      </w:r>
      <w:r>
        <w:rPr>
          <w:rFonts w:hint="eastAsia"/>
        </w:rPr>
        <w:t xml:space="preserve">of the </w:t>
      </w:r>
      <w:r>
        <w:rPr>
          <w:rFonts w:hint="eastAsia"/>
          <w:lang w:val="en-US" w:eastAsia="zh-CN"/>
        </w:rPr>
        <w:t>packet 2</w:t>
      </w:r>
      <w:r>
        <w:rPr>
          <w:rFonts w:hint="eastAsia"/>
        </w:rPr>
        <w:t xml:space="preserve"> is overlapped with the measurement gap.</w:t>
      </w:r>
    </w:p>
    <w:p>
      <w:pPr>
        <w:spacing w:before="120" w:after="120"/>
      </w:pPr>
      <w:r>
        <w:drawing>
          <wp:inline distT="0" distB="0" distL="114300" distR="114300">
            <wp:extent cx="6125210" cy="2430780"/>
            <wp:effectExtent l="0" t="0" r="8890" b="762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6"/>
                    <a:stretch>
                      <a:fillRect/>
                    </a:stretch>
                  </pic:blipFill>
                  <pic:spPr>
                    <a:xfrm>
                      <a:off x="0" y="0"/>
                      <a:ext cx="6125210" cy="2430780"/>
                    </a:xfrm>
                    <a:prstGeom prst="rect">
                      <a:avLst/>
                    </a:prstGeom>
                    <a:noFill/>
                    <a:ln>
                      <a:noFill/>
                    </a:ln>
                  </pic:spPr>
                </pic:pic>
              </a:graphicData>
            </a:graphic>
          </wp:inline>
        </w:drawing>
      </w:r>
    </w:p>
    <w:p>
      <w:pPr>
        <w:spacing w:before="120" w:after="120"/>
        <w:jc w:val="center"/>
      </w:pPr>
      <w:r>
        <w:rPr>
          <w:rFonts w:hint="eastAsia"/>
        </w:rPr>
        <w:t>Figure 5 Illustration of uncertain collision between measurement gap and transmission/reception.</w:t>
      </w:r>
    </w:p>
    <w:p>
      <w:pPr>
        <w:pStyle w:val="60"/>
        <w:spacing w:before="120" w:after="120"/>
        <w:jc w:val="both"/>
        <w:rPr>
          <w:lang w:val="en-US" w:eastAsia="zh-CN"/>
        </w:rPr>
      </w:pPr>
      <w:bookmarkStart w:id="12" w:name="_Toc11164"/>
      <w:r>
        <w:rPr>
          <w:rFonts w:hint="eastAsia"/>
          <w:lang w:val="en-US" w:eastAsia="zh-CN"/>
        </w:rPr>
        <w:t>For the XR traffic, the collision between data transmission/reception and measurement is uncertain in different periods.</w:t>
      </w:r>
      <w:bookmarkEnd w:id="12"/>
    </w:p>
    <w:p>
      <w:pPr>
        <w:spacing w:before="120" w:after="120"/>
      </w:pPr>
      <w:r>
        <w:rPr>
          <w:rFonts w:hint="eastAsia"/>
        </w:rPr>
        <w:t xml:space="preserve">To this end, dynamic indication can be considered. That is, UE can dynamically adjust the measurement and the reception/transmission based on the indication for the certain gap/restriction as illustrated in Figure 6. And the transmission/reception restriction relaxation can be indicated in scheduling DCI signaling. From our perspective, dynamic indication has advantage of providing flexibility on transmission and reception restriction relaxation for each gap/restriction. </w:t>
      </w:r>
    </w:p>
    <w:p>
      <w:pPr>
        <w:spacing w:before="120" w:after="120"/>
      </w:pPr>
      <w:r>
        <w:drawing>
          <wp:inline distT="0" distB="0" distL="114300" distR="114300">
            <wp:extent cx="6123940" cy="2176145"/>
            <wp:effectExtent l="0" t="0" r="10160" b="14605"/>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17"/>
                    <a:stretch>
                      <a:fillRect/>
                    </a:stretch>
                  </pic:blipFill>
                  <pic:spPr>
                    <a:xfrm>
                      <a:off x="0" y="0"/>
                      <a:ext cx="6123940" cy="2176145"/>
                    </a:xfrm>
                    <a:prstGeom prst="rect">
                      <a:avLst/>
                    </a:prstGeom>
                    <a:noFill/>
                    <a:ln>
                      <a:noFill/>
                    </a:ln>
                  </pic:spPr>
                </pic:pic>
              </a:graphicData>
            </a:graphic>
          </wp:inline>
        </w:drawing>
      </w:r>
    </w:p>
    <w:p>
      <w:pPr>
        <w:spacing w:before="120" w:after="120"/>
        <w:jc w:val="center"/>
      </w:pPr>
      <w:r>
        <w:rPr>
          <w:rFonts w:hint="eastAsia"/>
        </w:rPr>
        <w:t>Figure 6 Illustration of dynamic indication based measurement gap</w:t>
      </w:r>
    </w:p>
    <w:p>
      <w:pPr>
        <w:spacing w:before="120" w:after="120"/>
        <w:jc w:val="both"/>
      </w:pPr>
      <w:r>
        <w:rPr>
          <w:rFonts w:hint="eastAsia"/>
        </w:rPr>
        <w:t xml:space="preserve">Moreover, whether or not the dynamic indication of transmission and reception restriction relaxation can be indicated for one gap/restriction or multiple gaps/restriction can be further discussed if the dynamic indication is considered.  </w:t>
      </w:r>
    </w:p>
    <w:p>
      <w:pPr>
        <w:pStyle w:val="63"/>
        <w:spacing w:before="120" w:after="120"/>
        <w:jc w:val="both"/>
        <w:rPr>
          <w:lang w:val="en-US" w:eastAsia="zh-CN"/>
        </w:rPr>
      </w:pPr>
      <w:bookmarkStart w:id="13" w:name="_Toc16384"/>
      <w:r>
        <w:rPr>
          <w:rFonts w:hint="eastAsia"/>
          <w:lang w:val="en-US" w:eastAsia="zh-CN"/>
        </w:rPr>
        <w:t>Dynamic indication is supported for scheduling relaxation in gaps/restrictions for XR traffic.</w:t>
      </w:r>
      <w:bookmarkEnd w:id="13"/>
    </w:p>
    <w:p>
      <w:pPr>
        <w:spacing w:before="120" w:after="120"/>
      </w:pPr>
    </w:p>
    <w:p>
      <w:pPr>
        <w:pStyle w:val="3"/>
        <w:spacing w:before="120" w:after="120"/>
        <w:ind w:left="991" w:right="210" w:hanging="991" w:hangingChars="354"/>
      </w:pPr>
      <w:r>
        <w:rPr>
          <w:rFonts w:hint="eastAsia" w:eastAsia="宋体"/>
        </w:rPr>
        <w:t>Granularity of transmission and reception restriction relaxation</w:t>
      </w:r>
    </w:p>
    <w:p>
      <w:pPr>
        <w:spacing w:before="120" w:after="120"/>
      </w:pPr>
      <w:r>
        <w:rPr>
          <w:rFonts w:hint="eastAsia"/>
        </w:rPr>
        <w:t>In Section 3.1, we discuss the ways for transmission and reception restriction relaxation indication. In this section, we continue to discuss the indication granularity of transmission and reception restriction relaxation, i.e., the transmission and reception restriction relaxation is applied for all the symbols in the gaps/restrictions or the transmission and reception restriction relaxation is applied for part of symbols in the gaps/restrictions.</w:t>
      </w:r>
    </w:p>
    <w:p>
      <w:pPr>
        <w:spacing w:before="120" w:after="120"/>
      </w:pPr>
      <w:r>
        <w:rPr>
          <w:rFonts w:hint="eastAsia"/>
        </w:rPr>
        <w:t xml:space="preserve">According to [2], the transmission and reception restriction may be different from different gaps/restrictions. On the one hand, all the symbols in the gaps/restriction, e.g., measurement gap, are restricted to data transmission/reception. Since measurement gap are usually used for inter frequency measurement, UE with only one RF chain must perform RF tuning in the gap to measure target cell with different frequency point. As a result, all symbols in the measurement gap should be reserved for measurement. On the other hand, partial symbols in the gaps/restriction, e.g., SMTC window and NCSG, are restricted to data transmission/reception. For example, for SMTC window, and for the ML of NCSG, the symbols associated with the reference signaling transmission (e.g., SSB and CSI-RS) are restricted to data transmission/reception. </w:t>
      </w:r>
    </w:p>
    <w:p>
      <w:pPr>
        <w:spacing w:before="120" w:after="120"/>
      </w:pPr>
      <w:r>
        <w:rPr>
          <w:rFonts w:hint="eastAsia"/>
        </w:rPr>
        <w:t>From the perspective of SMTC window, the restriction mainly focuses on the case of the intra-frequency measurement without measurement gap. UE is not necessary to perform RF tuning or perform RF tuning in a short time. As a result, the restriction is on the symbols associated with reference signaling transmission.</w:t>
      </w:r>
    </w:p>
    <w:p>
      <w:pPr>
        <w:spacing w:before="120" w:after="120"/>
      </w:pPr>
      <w:r>
        <w:rPr>
          <w:rFonts w:hint="eastAsia"/>
        </w:rPr>
        <w:t>From the perspective of NCSG, it is introduced for UE with UE capability of performing simultaneous measurement and data transmission/reception, implying there are no interruption time in the ML. As a result, the transmission and reception restriction in ML of NCSG may be same as that of SMTC window.</w:t>
      </w:r>
    </w:p>
    <w:p>
      <w:pPr>
        <w:pStyle w:val="60"/>
        <w:spacing w:before="120" w:after="120"/>
        <w:jc w:val="both"/>
        <w:rPr>
          <w:lang w:val="en-US" w:eastAsia="zh-CN"/>
        </w:rPr>
      </w:pPr>
      <w:bookmarkStart w:id="14" w:name="_Toc14830"/>
      <w:r>
        <w:rPr>
          <w:rFonts w:hint="eastAsia"/>
          <w:lang w:val="en-US" w:eastAsia="zh-CN"/>
        </w:rPr>
        <w:t>Data transmission and reception restriction are restricted on all the symbols in some gaps/restrictions, while on the part of symbols in some gaps/restrictions, including e.g., SMTC window and NCSG.</w:t>
      </w:r>
      <w:bookmarkEnd w:id="14"/>
    </w:p>
    <w:p>
      <w:pPr>
        <w:spacing w:before="120" w:after="120"/>
      </w:pPr>
      <w:r>
        <w:rPr>
          <w:rFonts w:hint="eastAsia"/>
        </w:rPr>
        <w:t xml:space="preserve">As we have elaborated in Section 2.1, in order to reduce workload in limited time unit, a unified granularity of transmission and reception restriction relaxation should also be considered. </w:t>
      </w:r>
    </w:p>
    <w:p>
      <w:pPr>
        <w:spacing w:before="120" w:after="120"/>
      </w:pPr>
      <w:r>
        <w:rPr>
          <w:rFonts w:hint="eastAsia"/>
        </w:rPr>
        <w:t xml:space="preserve">If transmission and reception restriction relaxation is applied for </w:t>
      </w:r>
      <w:r>
        <w:rPr>
          <w:rFonts w:hint="eastAsia"/>
          <w:b/>
          <w:bCs/>
        </w:rPr>
        <w:t>all</w:t>
      </w:r>
      <w:r>
        <w:rPr>
          <w:rFonts w:hint="eastAsia"/>
        </w:rPr>
        <w:t xml:space="preserve"> the symbols in the gaps/restrictions, it means that whole gap/restriction is relaxed for data transmission/reception. It may be suitable for measurement gaps, because the interruption time includes all the symbols in the measurement gap, which is used for UE to perform inter-frequency measurement. In the meanwhile, it is impossible for UE to achieve measurement in some symbols while to transmit/receive data in other symbols in the measurement gap. However, towards SMTC window, since the transmission and reception </w:t>
      </w:r>
      <w:r>
        <w:t>are</w:t>
      </w:r>
      <w:r>
        <w:rPr>
          <w:rFonts w:hint="eastAsia"/>
        </w:rPr>
        <w:t xml:space="preserve"> restrict</w:t>
      </w:r>
      <w:r>
        <w:t>ed</w:t>
      </w:r>
      <w:r>
        <w:rPr>
          <w:rFonts w:hint="eastAsia"/>
        </w:rPr>
        <w:t xml:space="preserve"> on part of </w:t>
      </w:r>
      <w:r>
        <w:t xml:space="preserve">the </w:t>
      </w:r>
      <w:r>
        <w:rPr>
          <w:rFonts w:hint="eastAsia"/>
        </w:rPr>
        <w:t xml:space="preserve">symbols associated with SSB transmission in the SMTC window. </w:t>
      </w:r>
      <w:r>
        <w:rPr>
          <w:rFonts w:hint="eastAsia"/>
          <w:highlight w:val="none"/>
        </w:rPr>
        <w:t xml:space="preserve">It is understood that enabling transmission and reception in the </w:t>
      </w:r>
      <w:r>
        <w:rPr>
          <w:rFonts w:hint="eastAsia"/>
          <w:highlight w:val="none"/>
          <w:lang w:val="en-US" w:eastAsia="zh-CN"/>
        </w:rPr>
        <w:t xml:space="preserve">whole </w:t>
      </w:r>
      <w:r>
        <w:rPr>
          <w:rFonts w:hint="eastAsia"/>
          <w:highlight w:val="none"/>
        </w:rPr>
        <w:t>restrictions including the symbols for SSB transmission has large impact on measurement.</w:t>
      </w:r>
      <w:r>
        <w:rPr>
          <w:rFonts w:hint="eastAsia"/>
        </w:rPr>
        <w:t xml:space="preserve"> So, in case of SMTC window or NCSG, if transmission and reception restriction relaxation is applied for partial symbols in the gaps/restrictions, i.e., some symbols are relaxed for data transmission/reception while other symbols are used for measurement, it seems more reasonable. </w:t>
      </w:r>
    </w:p>
    <w:p>
      <w:pPr>
        <w:spacing w:before="120" w:after="120"/>
      </w:pPr>
      <w:r>
        <w:rPr>
          <w:rFonts w:hint="eastAsia"/>
        </w:rPr>
        <w:t>Last but not least, if a signaling support to indicate parts of symbols for transmission and reception restriction relaxation, of course</w:t>
      </w:r>
      <w:r>
        <w:t>,</w:t>
      </w:r>
      <w:r>
        <w:rPr>
          <w:rFonts w:hint="eastAsia"/>
        </w:rPr>
        <w:t xml:space="preserve"> the indication can easily support transmission and reception restriction relaxation in the whole gaps/restriction.</w:t>
      </w:r>
    </w:p>
    <w:p>
      <w:pPr>
        <w:spacing w:before="120" w:after="120"/>
      </w:pPr>
      <w:r>
        <w:rPr>
          <w:rFonts w:hint="eastAsia"/>
        </w:rPr>
        <w:t>To this end, partial</w:t>
      </w:r>
      <w:r>
        <w:t>-</w:t>
      </w:r>
      <w:r>
        <w:rPr>
          <w:rFonts w:hint="eastAsia"/>
        </w:rPr>
        <w:t xml:space="preserve">symbol indication for transmission and reception restriction relaxation in gaps/restrictions are more </w:t>
      </w:r>
      <w:r>
        <w:t>suitable</w:t>
      </w:r>
      <w:r>
        <w:rPr>
          <w:rFonts w:hint="eastAsia"/>
        </w:rPr>
        <w:t xml:space="preserve"> </w:t>
      </w:r>
      <w:r>
        <w:t>for the</w:t>
      </w:r>
      <w:r>
        <w:rPr>
          <w:rFonts w:hint="eastAsia"/>
        </w:rPr>
        <w:t xml:space="preserve"> unified solution for different gaps/restrictions.</w:t>
      </w:r>
    </w:p>
    <w:p>
      <w:pPr>
        <w:pStyle w:val="63"/>
        <w:spacing w:before="120" w:after="120"/>
        <w:jc w:val="both"/>
        <w:rPr>
          <w:lang w:val="en-US" w:eastAsia="zh-CN"/>
        </w:rPr>
      </w:pPr>
      <w:bookmarkStart w:id="15" w:name="_Toc23573"/>
      <w:r>
        <w:rPr>
          <w:rFonts w:hint="eastAsia"/>
          <w:lang w:val="en-US" w:eastAsia="zh-CN"/>
        </w:rPr>
        <w:t>Partial</w:t>
      </w:r>
      <w:r>
        <w:rPr>
          <w:lang w:val="en-US" w:eastAsia="zh-CN"/>
        </w:rPr>
        <w:t>-</w:t>
      </w:r>
      <w:r>
        <w:rPr>
          <w:rFonts w:hint="eastAsia"/>
          <w:lang w:val="en-US" w:eastAsia="zh-CN"/>
        </w:rPr>
        <w:t>symbol indication in the gaps/restrictions to enable data transmission and reception should be considered.</w:t>
      </w:r>
      <w:bookmarkEnd w:id="15"/>
    </w:p>
    <w:p>
      <w:pPr>
        <w:spacing w:before="120" w:after="120"/>
      </w:pPr>
    </w:p>
    <w:p>
      <w:pPr>
        <w:pStyle w:val="3"/>
        <w:spacing w:before="120" w:after="120"/>
        <w:ind w:left="991" w:right="210" w:hanging="991" w:hangingChars="354"/>
      </w:pPr>
      <w:r>
        <w:rPr>
          <w:rFonts w:hint="eastAsia" w:eastAsia="宋体"/>
        </w:rPr>
        <w:t>Other considerations</w:t>
      </w:r>
    </w:p>
    <w:p>
      <w:pPr>
        <w:spacing w:before="120" w:after="120"/>
      </w:pPr>
      <w:r>
        <w:rPr>
          <w:rFonts w:hint="eastAsia"/>
        </w:rPr>
        <w:t xml:space="preserve">In general, the intra/inter-frequency measurement is triggered by some specific event, including e.g., Event A3, the quality of signaling in serving cell becomes offset lower than that of neighbor cell. In our view, </w:t>
      </w:r>
      <w:r>
        <w:t xml:space="preserve">the enabling of transmission/reception during the gap/restriction </w:t>
      </w:r>
      <w:r>
        <w:rPr>
          <w:rFonts w:hint="eastAsia"/>
        </w:rPr>
        <w:t xml:space="preserve">basically </w:t>
      </w:r>
      <w:r>
        <w:t xml:space="preserve">implies that RRM measurement for </w:t>
      </w:r>
      <w:r>
        <w:rPr>
          <w:rFonts w:hint="eastAsia"/>
        </w:rPr>
        <w:t>neighbor cell</w:t>
      </w:r>
      <w:r>
        <w:t xml:space="preserve"> is relaxed even the measurement event is triggered. Therefore, some condition/criteria should be considered for the application of RRM measurement relaxation </w:t>
      </w:r>
      <w:r>
        <w:rPr>
          <w:rFonts w:hint="eastAsia"/>
        </w:rPr>
        <w:t xml:space="preserve">in order to minimize the negative impact on mobility management. This is beneficial to balance the </w:t>
      </w:r>
      <w:r>
        <w:t xml:space="preserve">XR </w:t>
      </w:r>
      <w:r>
        <w:rPr>
          <w:rFonts w:hint="eastAsia"/>
        </w:rPr>
        <w:t xml:space="preserve">capacity performance and impact on measurement. To this end, </w:t>
      </w:r>
      <w:r>
        <w:t xml:space="preserve">some solutions are needed to handle this. For example, </w:t>
      </w:r>
      <w:r>
        <w:rPr>
          <w:rFonts w:hint="eastAsia"/>
        </w:rPr>
        <w:t xml:space="preserve">the </w:t>
      </w:r>
      <w:r>
        <w:rPr>
          <w:rFonts w:hint="eastAsia"/>
          <w:b w:val="0"/>
          <w:bCs/>
        </w:rPr>
        <w:t>priority</w:t>
      </w:r>
      <w:r>
        <w:rPr>
          <w:rFonts w:hint="eastAsia"/>
        </w:rPr>
        <w:t xml:space="preserve"> between measurement and transmission/reception</w:t>
      </w:r>
      <w:r>
        <w:t>, measurement result based criteria</w:t>
      </w:r>
      <w:r>
        <w:rPr>
          <w:rFonts w:hint="eastAsia"/>
        </w:rPr>
        <w:t xml:space="preserve"> </w:t>
      </w:r>
      <w:r>
        <w:t>can be</w:t>
      </w:r>
      <w:r>
        <w:rPr>
          <w:rFonts w:hint="eastAsia"/>
        </w:rPr>
        <w:t xml:space="preserve"> considered. For example, if the SS-RSRP measured in the serving cell is higher than that measured in the neighbor cell in the inter-frequency measurement, the transmission/reception has higher priority than measurement and the </w:t>
      </w:r>
      <w:r>
        <w:rPr>
          <w:rFonts w:hint="eastAsia"/>
          <w:lang w:val="en-US" w:eastAsia="zh-CN"/>
        </w:rPr>
        <w:t xml:space="preserve">transmission/reception restriction </w:t>
      </w:r>
      <w:r>
        <w:rPr>
          <w:rFonts w:hint="eastAsia"/>
        </w:rPr>
        <w:t>relaxation can be applied, or vice versus.</w:t>
      </w:r>
    </w:p>
    <w:p>
      <w:pPr>
        <w:pStyle w:val="63"/>
        <w:spacing w:before="120" w:after="120"/>
        <w:jc w:val="both"/>
        <w:rPr>
          <w:lang w:val="en-US" w:eastAsia="zh-CN"/>
        </w:rPr>
      </w:pPr>
      <w:bookmarkStart w:id="16" w:name="_Toc19012"/>
      <w:r>
        <w:rPr>
          <w:lang w:val="en-US" w:eastAsia="zh-CN"/>
        </w:rPr>
        <w:t>Solutions, such as</w:t>
      </w:r>
      <w:r>
        <w:rPr>
          <w:rFonts w:hint="eastAsia"/>
          <w:lang w:val="en-US" w:eastAsia="zh-CN"/>
        </w:rPr>
        <w:t xml:space="preserve"> priority between measurement and transmission/reception</w:t>
      </w:r>
      <w:r>
        <w:rPr>
          <w:lang w:val="en-US" w:eastAsia="zh-CN"/>
        </w:rPr>
        <w:t xml:space="preserve">, </w:t>
      </w:r>
      <w:r>
        <w:t>measurement result based criteria,</w:t>
      </w:r>
      <w:r>
        <w:rPr>
          <w:rFonts w:hint="eastAsia"/>
          <w:lang w:val="en-US" w:eastAsia="zh-CN"/>
        </w:rPr>
        <w:t xml:space="preserve"> should be considered in order to minimize the negative impact on measurement.</w:t>
      </w:r>
      <w:bookmarkEnd w:id="16"/>
    </w:p>
    <w:p>
      <w:pPr>
        <w:spacing w:before="120" w:after="120"/>
      </w:pPr>
    </w:p>
    <w:p>
      <w:pPr>
        <w:pStyle w:val="2"/>
        <w:spacing w:before="120" w:after="120"/>
        <w:ind w:left="0"/>
        <w:rPr>
          <w:rFonts w:eastAsia="宋体"/>
        </w:rPr>
      </w:pPr>
      <w:r>
        <w:rPr>
          <w:rFonts w:eastAsia="宋体"/>
        </w:rPr>
        <w:t>Conclusion</w:t>
      </w:r>
    </w:p>
    <w:p>
      <w:pPr>
        <w:spacing w:before="120" w:after="120"/>
      </w:pPr>
      <w:r>
        <w:rPr>
          <w:rFonts w:hint="eastAsia"/>
        </w:rPr>
        <w:t>In this contribution, we have the following observations/proposals:</w:t>
      </w:r>
    </w:p>
    <w:p>
      <w:pPr>
        <w:pStyle w:val="20"/>
        <w:tabs>
          <w:tab w:val="right" w:leader="dot" w:pos="9660"/>
          <w:tab w:val="clear" w:pos="0"/>
        </w:tabs>
        <w:jc w:val="both"/>
      </w:pPr>
      <w:r>
        <w:rPr>
          <w:i w:val="0"/>
          <w:iCs w:val="0"/>
          <w:sz w:val="21"/>
          <w:szCs w:val="22"/>
        </w:rPr>
        <w:fldChar w:fldCharType="begin"/>
      </w:r>
      <w:r>
        <w:rPr>
          <w:i w:val="0"/>
          <w:iCs w:val="0"/>
          <w:sz w:val="21"/>
          <w:szCs w:val="22"/>
        </w:rPr>
        <w:instrText xml:space="preserve">TOC \n  \t "YJ-Observation,1,sub-observation,2,3rd level observation,3" \h</w:instrText>
      </w:r>
      <w:r>
        <w:rPr>
          <w:i w:val="0"/>
          <w:iCs w:val="0"/>
          <w:sz w:val="21"/>
          <w:szCs w:val="22"/>
        </w:rPr>
        <w:fldChar w:fldCharType="separate"/>
      </w:r>
      <w:r>
        <w:rPr>
          <w:i w:val="0"/>
          <w:iCs w:val="0"/>
          <w:szCs w:val="22"/>
        </w:rPr>
        <w:fldChar w:fldCharType="begin"/>
      </w:r>
      <w:r>
        <w:rPr>
          <w:i w:val="0"/>
          <w:iCs w:val="0"/>
          <w:szCs w:val="22"/>
        </w:rPr>
        <w:instrText xml:space="preserve"> HYPERLINK \l _Toc28016 </w:instrText>
      </w:r>
      <w:r>
        <w:rPr>
          <w:i w:val="0"/>
          <w:iCs w:val="0"/>
          <w:szCs w:val="22"/>
        </w:rPr>
        <w:fldChar w:fldCharType="separate"/>
      </w:r>
      <w:r>
        <w:rPr>
          <w:rFonts w:hint="default" w:ascii="Times New Roman" w:hAnsi="Times New Roman" w:eastAsia="宋体" w:cs="Times New Roman"/>
          <w:bCs/>
          <w:i/>
          <w:iCs/>
          <w:lang w:val="en-US" w:eastAsia="zh-CN"/>
        </w:rPr>
        <w:t xml:space="preserve">Observation 1: </w:t>
      </w:r>
      <w:r>
        <w:rPr>
          <w:rFonts w:hint="eastAsia"/>
          <w:lang w:val="en-US" w:eastAsia="zh-CN"/>
        </w:rPr>
        <w:t>There are basically two transmission/reception restriction</w:t>
      </w:r>
      <w:r>
        <w:rPr>
          <w:lang w:val="en-US" w:eastAsia="zh-CN"/>
        </w:rPr>
        <w:t xml:space="preserve"> type</w:t>
      </w:r>
      <w:r>
        <w:rPr>
          <w:rFonts w:hint="eastAsia"/>
          <w:lang w:val="en-US" w:eastAsia="zh-CN"/>
        </w:rPr>
        <w:t>s in current specification, i.e., either data transmission and reception</w:t>
      </w:r>
      <w:r>
        <w:rPr>
          <w:lang w:val="en-US" w:eastAsia="zh-CN"/>
        </w:rPr>
        <w:t xml:space="preserve"> restriction</w:t>
      </w:r>
      <w:r>
        <w:rPr>
          <w:rFonts w:hint="eastAsia"/>
          <w:lang w:val="en-US" w:eastAsia="zh-CN"/>
        </w:rPr>
        <w:t xml:space="preserve"> on the symbols associated with the reference signal, or data transmission and reception </w:t>
      </w:r>
      <w:r>
        <w:rPr>
          <w:lang w:val="en-US" w:eastAsia="zh-CN"/>
        </w:rPr>
        <w:t>restriction during</w:t>
      </w:r>
      <w:r>
        <w:rPr>
          <w:rFonts w:hint="eastAsia"/>
          <w:lang w:val="en-US" w:eastAsia="zh-CN"/>
        </w:rPr>
        <w:t xml:space="preserve"> the whole gap/window.</w:t>
      </w:r>
      <w:r>
        <w:rPr>
          <w:i w:val="0"/>
          <w:iCs w:val="0"/>
          <w:szCs w:val="22"/>
        </w:rPr>
        <w:fldChar w:fldCharType="end"/>
      </w:r>
    </w:p>
    <w:p>
      <w:pPr>
        <w:pStyle w:val="20"/>
        <w:tabs>
          <w:tab w:val="right" w:leader="dot" w:pos="9660"/>
          <w:tab w:val="clear" w:pos="0"/>
        </w:tabs>
        <w:jc w:val="both"/>
      </w:pPr>
      <w:r>
        <w:rPr>
          <w:szCs w:val="22"/>
        </w:rPr>
        <w:fldChar w:fldCharType="begin"/>
      </w:r>
      <w:r>
        <w:rPr>
          <w:szCs w:val="22"/>
        </w:rPr>
        <w:instrText xml:space="preserve"> HYPERLINK \l _Toc19019 </w:instrText>
      </w:r>
      <w:r>
        <w:rPr>
          <w:szCs w:val="22"/>
        </w:rPr>
        <w:fldChar w:fldCharType="separate"/>
      </w:r>
      <w:r>
        <w:rPr>
          <w:rFonts w:hint="default" w:ascii="Times New Roman" w:hAnsi="Times New Roman" w:eastAsia="宋体" w:cs="Times New Roman"/>
          <w:bCs/>
          <w:i/>
          <w:iCs/>
          <w:lang w:val="en-US" w:eastAsia="zh-CN"/>
        </w:rPr>
        <w:t xml:space="preserve">Observation 2: </w:t>
      </w:r>
      <w:r>
        <w:rPr>
          <w:rFonts w:hint="eastAsia"/>
          <w:lang w:val="en-US" w:eastAsia="zh-CN"/>
        </w:rPr>
        <w:t>Semi-persistent indication can be considered for the XR traffic characterized by periodic arrival and fixed packet size, e.g., semi-persistent indication for staggering the gaps/restriction with the duration of packet transmission and semi-persistent indication for transmission and reception restriction relaxation.</w:t>
      </w:r>
      <w:r>
        <w:rPr>
          <w:szCs w:val="22"/>
        </w:rPr>
        <w:fldChar w:fldCharType="end"/>
      </w:r>
    </w:p>
    <w:p>
      <w:pPr>
        <w:pStyle w:val="20"/>
        <w:tabs>
          <w:tab w:val="right" w:leader="dot" w:pos="9660"/>
          <w:tab w:val="clear" w:pos="0"/>
        </w:tabs>
        <w:jc w:val="both"/>
      </w:pPr>
      <w:r>
        <w:rPr>
          <w:szCs w:val="22"/>
        </w:rPr>
        <w:fldChar w:fldCharType="begin"/>
      </w:r>
      <w:r>
        <w:rPr>
          <w:szCs w:val="22"/>
        </w:rPr>
        <w:instrText xml:space="preserve"> HYPERLINK \l _Toc15303 </w:instrText>
      </w:r>
      <w:r>
        <w:rPr>
          <w:szCs w:val="22"/>
        </w:rPr>
        <w:fldChar w:fldCharType="separate"/>
      </w:r>
      <w:r>
        <w:rPr>
          <w:rFonts w:hint="default" w:ascii="Times New Roman" w:hAnsi="Times New Roman" w:eastAsia="宋体" w:cs="Times New Roman"/>
          <w:bCs/>
          <w:i/>
          <w:iCs/>
          <w:lang w:val="en-US" w:eastAsia="zh-CN"/>
        </w:rPr>
        <w:t xml:space="preserve">Observation 3: </w:t>
      </w:r>
      <w:r>
        <w:rPr>
          <w:rFonts w:hint="eastAsia"/>
          <w:lang w:val="en-US" w:eastAsia="zh-CN"/>
        </w:rPr>
        <w:t>The mechanism of semi-persistent indication for transmission and reception restriction relaxation on gaps/restrictions has advantage of simple implementation but limited flexibility on data transmission and reception relaxation.</w:t>
      </w:r>
      <w:r>
        <w:rPr>
          <w:szCs w:val="22"/>
        </w:rPr>
        <w:fldChar w:fldCharType="end"/>
      </w:r>
    </w:p>
    <w:p>
      <w:pPr>
        <w:pStyle w:val="20"/>
        <w:tabs>
          <w:tab w:val="right" w:leader="dot" w:pos="9660"/>
          <w:tab w:val="clear" w:pos="0"/>
        </w:tabs>
        <w:jc w:val="both"/>
      </w:pPr>
      <w:r>
        <w:rPr>
          <w:szCs w:val="22"/>
        </w:rPr>
        <w:fldChar w:fldCharType="begin"/>
      </w:r>
      <w:r>
        <w:rPr>
          <w:szCs w:val="22"/>
        </w:rPr>
        <w:instrText xml:space="preserve"> HYPERLINK \l _Toc11164 </w:instrText>
      </w:r>
      <w:r>
        <w:rPr>
          <w:szCs w:val="22"/>
        </w:rPr>
        <w:fldChar w:fldCharType="separate"/>
      </w:r>
      <w:r>
        <w:rPr>
          <w:rFonts w:hint="default" w:ascii="Times New Roman" w:hAnsi="Times New Roman" w:eastAsia="宋体" w:cs="Times New Roman"/>
          <w:bCs/>
          <w:i/>
          <w:iCs/>
          <w:lang w:val="en-US" w:eastAsia="zh-CN"/>
        </w:rPr>
        <w:t xml:space="preserve">Observation 4: </w:t>
      </w:r>
      <w:r>
        <w:rPr>
          <w:rFonts w:hint="eastAsia"/>
          <w:lang w:val="en-US" w:eastAsia="zh-CN"/>
        </w:rPr>
        <w:t>For the XR traffic, the collision between data transmission/reception and measurement is uncertain in different periods.</w:t>
      </w:r>
      <w:r>
        <w:rPr>
          <w:szCs w:val="22"/>
        </w:rPr>
        <w:fldChar w:fldCharType="end"/>
      </w:r>
    </w:p>
    <w:p>
      <w:pPr>
        <w:pStyle w:val="20"/>
        <w:tabs>
          <w:tab w:val="right" w:leader="dot" w:pos="9660"/>
          <w:tab w:val="clear" w:pos="0"/>
        </w:tabs>
        <w:jc w:val="both"/>
      </w:pPr>
      <w:r>
        <w:rPr>
          <w:szCs w:val="22"/>
        </w:rPr>
        <w:fldChar w:fldCharType="begin"/>
      </w:r>
      <w:r>
        <w:rPr>
          <w:szCs w:val="22"/>
        </w:rPr>
        <w:instrText xml:space="preserve"> HYPERLINK \l _Toc14830 </w:instrText>
      </w:r>
      <w:r>
        <w:rPr>
          <w:szCs w:val="22"/>
        </w:rPr>
        <w:fldChar w:fldCharType="separate"/>
      </w:r>
      <w:r>
        <w:rPr>
          <w:rFonts w:hint="default" w:ascii="Times New Roman" w:hAnsi="Times New Roman" w:eastAsia="宋体" w:cs="Times New Roman"/>
          <w:bCs/>
          <w:i/>
          <w:iCs/>
          <w:lang w:val="en-US" w:eastAsia="zh-CN"/>
        </w:rPr>
        <w:t xml:space="preserve">Observation 5: </w:t>
      </w:r>
      <w:r>
        <w:rPr>
          <w:rFonts w:hint="eastAsia"/>
          <w:lang w:val="en-US" w:eastAsia="zh-CN"/>
        </w:rPr>
        <w:t>Data transmission and reception restriction are restricted on all the symbols in some gaps/restrictions, while on the part of symbols in some gaps/restrictions, including e.g., SMTC window and NCSG.</w:t>
      </w:r>
      <w:r>
        <w:rPr>
          <w:szCs w:val="22"/>
        </w:rPr>
        <w:fldChar w:fldCharType="end"/>
      </w:r>
    </w:p>
    <w:p>
      <w:pPr>
        <w:spacing w:before="120" w:after="120"/>
        <w:jc w:val="both"/>
      </w:pPr>
      <w:r>
        <w:rPr>
          <w:szCs w:val="22"/>
        </w:rPr>
        <w:fldChar w:fldCharType="end"/>
      </w:r>
    </w:p>
    <w:p>
      <w:pPr>
        <w:pStyle w:val="20"/>
        <w:tabs>
          <w:tab w:val="right" w:leader="dot" w:pos="9660"/>
          <w:tab w:val="clear" w:pos="0"/>
        </w:tabs>
        <w:jc w:val="both"/>
      </w:pPr>
      <w:r>
        <w:rPr>
          <w:highlight w:val="yellow"/>
        </w:rPr>
        <w:fldChar w:fldCharType="begin"/>
      </w:r>
      <w:r>
        <w:rPr>
          <w:highlight w:val="yellow"/>
        </w:rPr>
        <w:instrText xml:space="preserve">TOC \n  \t "YJ-Proposal,1,sub-proposal,2,3rd level proposal,3" \h</w:instrText>
      </w:r>
      <w:r>
        <w:rPr>
          <w:highlight w:val="yellow"/>
        </w:rPr>
        <w:fldChar w:fldCharType="separate"/>
      </w:r>
      <w:r>
        <w:rPr>
          <w:highlight w:val="yellow"/>
        </w:rPr>
        <w:fldChar w:fldCharType="begin"/>
      </w:r>
      <w:r>
        <w:rPr>
          <w:highlight w:val="yellow"/>
        </w:rPr>
        <w:instrText xml:space="preserve"> HYPERLINK \l _Toc30287 </w:instrText>
      </w:r>
      <w:r>
        <w:rPr>
          <w:highlight w:val="yellow"/>
        </w:rPr>
        <w:fldChar w:fldCharType="separate"/>
      </w:r>
      <w:r>
        <w:rPr>
          <w:rFonts w:hint="default" w:ascii="Times New Roman" w:hAnsi="Times New Roman" w:eastAsia="宋体" w:cs="Times New Roman"/>
          <w:bCs/>
          <w:i/>
          <w:iCs/>
          <w:lang w:val="en-US" w:eastAsia="zh-CN"/>
        </w:rPr>
        <w:t xml:space="preserve">Proposal 1: </w:t>
      </w:r>
      <w:r>
        <w:rPr>
          <w:rFonts w:hint="eastAsia"/>
          <w:lang w:val="en-US" w:eastAsia="zh-CN"/>
        </w:rPr>
        <w:t>The use cases for enhancements to enable transmission/reception in gaps/restrictions that caused by RRM measurement includes:</w:t>
      </w:r>
      <w:r>
        <w:rPr>
          <w:highlight w:val="yellow"/>
        </w:rPr>
        <w:fldChar w:fldCharType="end"/>
      </w:r>
    </w:p>
    <w:p>
      <w:pPr>
        <w:pStyle w:val="20"/>
        <w:tabs>
          <w:tab w:val="right" w:leader="dot" w:pos="9660"/>
          <w:tab w:val="clear" w:pos="0"/>
        </w:tabs>
        <w:ind w:leftChars="100"/>
        <w:jc w:val="both"/>
      </w:pPr>
      <w:r>
        <w:rPr>
          <w:highlight w:val="yellow"/>
        </w:rPr>
        <w:fldChar w:fldCharType="begin"/>
      </w:r>
      <w:r>
        <w:rPr>
          <w:highlight w:val="yellow"/>
        </w:rPr>
        <w:instrText xml:space="preserve"> HYPERLINK \l _Toc28453 </w:instrText>
      </w:r>
      <w:r>
        <w:rPr>
          <w:highlight w:val="yellow"/>
        </w:rPr>
        <w:fldChar w:fldCharType="separate"/>
      </w:r>
      <w:r>
        <w:rPr>
          <w:rFonts w:hint="default" w:ascii="Wingdings" w:hAnsi="Wingdings" w:cs="Wingdings"/>
          <w:lang w:val="en-US" w:eastAsia="zh-CN"/>
        </w:rPr>
        <w:t xml:space="preserve"> </w:t>
      </w:r>
      <w:r>
        <w:rPr>
          <w:rFonts w:hint="eastAsia"/>
          <w:lang w:val="en-US" w:eastAsia="zh-CN"/>
        </w:rPr>
        <w:t>SSB-based intra/inter-frequency measurement</w:t>
      </w:r>
      <w:r>
        <w:rPr>
          <w:highlight w:val="yellow"/>
        </w:rPr>
        <w:fldChar w:fldCharType="end"/>
      </w:r>
    </w:p>
    <w:p>
      <w:pPr>
        <w:pStyle w:val="20"/>
        <w:tabs>
          <w:tab w:val="right" w:leader="dot" w:pos="9660"/>
          <w:tab w:val="clear" w:pos="0"/>
        </w:tabs>
        <w:ind w:leftChars="100"/>
        <w:jc w:val="both"/>
      </w:pPr>
      <w:r>
        <w:rPr>
          <w:highlight w:val="yellow"/>
        </w:rPr>
        <w:fldChar w:fldCharType="begin"/>
      </w:r>
      <w:r>
        <w:rPr>
          <w:highlight w:val="yellow"/>
        </w:rPr>
        <w:instrText xml:space="preserve"> HYPERLINK \l _Toc26355 </w:instrText>
      </w:r>
      <w:r>
        <w:rPr>
          <w:highlight w:val="yellow"/>
        </w:rPr>
        <w:fldChar w:fldCharType="separate"/>
      </w:r>
      <w:r>
        <w:rPr>
          <w:rFonts w:hint="default" w:ascii="Wingdings" w:hAnsi="Wingdings" w:cs="Wingdings"/>
          <w:lang w:val="en-US" w:eastAsia="zh-CN"/>
        </w:rPr>
        <w:t xml:space="preserve"> </w:t>
      </w:r>
      <w:r>
        <w:rPr>
          <w:rFonts w:hint="eastAsia"/>
          <w:lang w:val="en-US" w:eastAsia="zh-CN"/>
        </w:rPr>
        <w:t>CSI-RS based intra/inter-frequency L3 measurement</w:t>
      </w:r>
      <w:r>
        <w:rPr>
          <w:highlight w:val="yellow"/>
        </w:rPr>
        <w:fldChar w:fldCharType="end"/>
      </w:r>
    </w:p>
    <w:p>
      <w:pPr>
        <w:pStyle w:val="20"/>
        <w:tabs>
          <w:tab w:val="right" w:leader="dot" w:pos="9660"/>
          <w:tab w:val="clear" w:pos="0"/>
        </w:tabs>
        <w:ind w:leftChars="100"/>
        <w:jc w:val="both"/>
      </w:pPr>
      <w:r>
        <w:rPr>
          <w:highlight w:val="yellow"/>
        </w:rPr>
        <w:fldChar w:fldCharType="begin"/>
      </w:r>
      <w:r>
        <w:rPr>
          <w:highlight w:val="yellow"/>
        </w:rPr>
        <w:instrText xml:space="preserve"> HYPERLINK \l _Toc21646 </w:instrText>
      </w:r>
      <w:r>
        <w:rPr>
          <w:highlight w:val="yellow"/>
        </w:rPr>
        <w:fldChar w:fldCharType="separate"/>
      </w:r>
      <w:r>
        <w:rPr>
          <w:rFonts w:hint="default" w:ascii="Wingdings" w:hAnsi="Wingdings" w:cs="Wingdings"/>
          <w:lang w:val="en-US" w:eastAsia="zh-CN"/>
        </w:rPr>
        <w:t xml:space="preserve"> </w:t>
      </w:r>
      <w:r>
        <w:rPr>
          <w:rFonts w:hint="eastAsia"/>
          <w:lang w:val="en-US" w:eastAsia="zh-CN"/>
        </w:rPr>
        <w:t>Intra/inter-frequency L1-RSRP measurement</w:t>
      </w:r>
      <w:r>
        <w:rPr>
          <w:highlight w:val="yellow"/>
        </w:rPr>
        <w:fldChar w:fldCharType="end"/>
      </w:r>
    </w:p>
    <w:p>
      <w:pPr>
        <w:pStyle w:val="20"/>
        <w:tabs>
          <w:tab w:val="right" w:leader="dot" w:pos="9660"/>
          <w:tab w:val="clear" w:pos="0"/>
        </w:tabs>
        <w:jc w:val="both"/>
      </w:pPr>
      <w:r>
        <w:rPr>
          <w:highlight w:val="yellow"/>
        </w:rPr>
        <w:fldChar w:fldCharType="begin"/>
      </w:r>
      <w:r>
        <w:rPr>
          <w:highlight w:val="yellow"/>
        </w:rPr>
        <w:instrText xml:space="preserve"> HYPERLINK \l _Toc22748 </w:instrText>
      </w:r>
      <w:r>
        <w:rPr>
          <w:highlight w:val="yellow"/>
        </w:rPr>
        <w:fldChar w:fldCharType="separate"/>
      </w:r>
      <w:r>
        <w:rPr>
          <w:rFonts w:hint="default" w:ascii="Times New Roman" w:hAnsi="Times New Roman" w:eastAsia="宋体" w:cs="Times New Roman"/>
          <w:bCs/>
          <w:i/>
          <w:iCs/>
          <w:lang w:val="en-US" w:eastAsia="zh-CN"/>
        </w:rPr>
        <w:t xml:space="preserve">Proposal 2: </w:t>
      </w:r>
      <w:r>
        <w:rPr>
          <w:rFonts w:hint="eastAsia"/>
          <w:lang w:val="en-US" w:eastAsia="zh-CN"/>
        </w:rPr>
        <w:t>Specify a unified design for various types of gaps/restriction that caused by RRM measurements to enable transmission and reception restriction relaxation.</w:t>
      </w:r>
      <w:r>
        <w:rPr>
          <w:highlight w:val="yellow"/>
        </w:rPr>
        <w:fldChar w:fldCharType="end"/>
      </w:r>
    </w:p>
    <w:p>
      <w:pPr>
        <w:pStyle w:val="20"/>
        <w:tabs>
          <w:tab w:val="right" w:leader="dot" w:pos="9660"/>
          <w:tab w:val="clear" w:pos="0"/>
        </w:tabs>
        <w:jc w:val="both"/>
      </w:pPr>
      <w:r>
        <w:rPr>
          <w:highlight w:val="yellow"/>
        </w:rPr>
        <w:fldChar w:fldCharType="begin"/>
      </w:r>
      <w:r>
        <w:rPr>
          <w:highlight w:val="yellow"/>
        </w:rPr>
        <w:instrText xml:space="preserve"> HYPERLINK \l _Toc16384 </w:instrText>
      </w:r>
      <w:r>
        <w:rPr>
          <w:highlight w:val="yellow"/>
        </w:rPr>
        <w:fldChar w:fldCharType="separate"/>
      </w:r>
      <w:r>
        <w:rPr>
          <w:rFonts w:hint="default" w:ascii="Times New Roman" w:hAnsi="Times New Roman" w:eastAsia="宋体" w:cs="Times New Roman"/>
          <w:bCs/>
          <w:i/>
          <w:iCs/>
          <w:lang w:val="en-US" w:eastAsia="zh-CN"/>
        </w:rPr>
        <w:t xml:space="preserve">Proposal 3: </w:t>
      </w:r>
      <w:r>
        <w:rPr>
          <w:rFonts w:hint="eastAsia"/>
          <w:lang w:val="en-US" w:eastAsia="zh-CN"/>
        </w:rPr>
        <w:t>Dynamic indication is supported for scheduling relaxation in gaps/restrictions for XR traffic.</w:t>
      </w:r>
      <w:r>
        <w:rPr>
          <w:highlight w:val="yellow"/>
        </w:rPr>
        <w:fldChar w:fldCharType="end"/>
      </w:r>
    </w:p>
    <w:p>
      <w:pPr>
        <w:pStyle w:val="20"/>
        <w:tabs>
          <w:tab w:val="right" w:leader="dot" w:pos="9660"/>
          <w:tab w:val="clear" w:pos="0"/>
        </w:tabs>
        <w:jc w:val="both"/>
      </w:pPr>
      <w:r>
        <w:rPr>
          <w:highlight w:val="yellow"/>
        </w:rPr>
        <w:fldChar w:fldCharType="begin"/>
      </w:r>
      <w:r>
        <w:rPr>
          <w:highlight w:val="yellow"/>
        </w:rPr>
        <w:instrText xml:space="preserve"> HYPERLINK \l _Toc23573 </w:instrText>
      </w:r>
      <w:r>
        <w:rPr>
          <w:highlight w:val="yellow"/>
        </w:rPr>
        <w:fldChar w:fldCharType="separate"/>
      </w:r>
      <w:r>
        <w:rPr>
          <w:rFonts w:hint="default" w:ascii="Times New Roman" w:hAnsi="Times New Roman" w:eastAsia="宋体" w:cs="Times New Roman"/>
          <w:bCs/>
          <w:i/>
          <w:iCs/>
          <w:lang w:val="en-US" w:eastAsia="zh-CN"/>
        </w:rPr>
        <w:t xml:space="preserve">Proposal 4: </w:t>
      </w:r>
      <w:r>
        <w:rPr>
          <w:rFonts w:hint="eastAsia"/>
          <w:lang w:val="en-US" w:eastAsia="zh-CN"/>
        </w:rPr>
        <w:t>Partial</w:t>
      </w:r>
      <w:r>
        <w:rPr>
          <w:lang w:val="en-US" w:eastAsia="zh-CN"/>
        </w:rPr>
        <w:t>-</w:t>
      </w:r>
      <w:r>
        <w:rPr>
          <w:rFonts w:hint="eastAsia"/>
          <w:lang w:val="en-US" w:eastAsia="zh-CN"/>
        </w:rPr>
        <w:t>symbol indication in the gaps/restrictions to enable data transmission and reception should be considered.</w:t>
      </w:r>
      <w:r>
        <w:rPr>
          <w:highlight w:val="yellow"/>
        </w:rPr>
        <w:fldChar w:fldCharType="end"/>
      </w:r>
    </w:p>
    <w:p>
      <w:pPr>
        <w:pStyle w:val="20"/>
        <w:tabs>
          <w:tab w:val="right" w:leader="dot" w:pos="9660"/>
          <w:tab w:val="clear" w:pos="0"/>
        </w:tabs>
        <w:jc w:val="both"/>
      </w:pPr>
      <w:r>
        <w:rPr>
          <w:highlight w:val="yellow"/>
        </w:rPr>
        <w:fldChar w:fldCharType="begin"/>
      </w:r>
      <w:r>
        <w:rPr>
          <w:highlight w:val="yellow"/>
        </w:rPr>
        <w:instrText xml:space="preserve"> HYPERLINK \l _Toc19012 </w:instrText>
      </w:r>
      <w:r>
        <w:rPr>
          <w:highlight w:val="yellow"/>
        </w:rPr>
        <w:fldChar w:fldCharType="separate"/>
      </w:r>
      <w:r>
        <w:rPr>
          <w:rFonts w:hint="default" w:ascii="Times New Roman" w:hAnsi="Times New Roman" w:eastAsia="宋体" w:cs="Times New Roman"/>
          <w:bCs/>
          <w:i/>
          <w:iCs/>
          <w:lang w:val="en-US" w:eastAsia="zh-CN"/>
        </w:rPr>
        <w:t xml:space="preserve">Proposal 5: </w:t>
      </w:r>
      <w:r>
        <w:rPr>
          <w:lang w:val="en-US" w:eastAsia="zh-CN"/>
        </w:rPr>
        <w:t>Solutions, such as</w:t>
      </w:r>
      <w:r>
        <w:rPr>
          <w:rFonts w:hint="eastAsia"/>
          <w:lang w:val="en-US" w:eastAsia="zh-CN"/>
        </w:rPr>
        <w:t xml:space="preserve"> priority between measurement and transmission/reception</w:t>
      </w:r>
      <w:r>
        <w:rPr>
          <w:lang w:val="en-US" w:eastAsia="zh-CN"/>
        </w:rPr>
        <w:t xml:space="preserve">, </w:t>
      </w:r>
      <w:r>
        <w:t>measurement result based criteria,</w:t>
      </w:r>
      <w:r>
        <w:rPr>
          <w:rFonts w:hint="eastAsia"/>
          <w:lang w:val="en-US" w:eastAsia="zh-CN"/>
        </w:rPr>
        <w:t xml:space="preserve"> should be considered in order to minimize the negative impact on measurement.</w:t>
      </w:r>
      <w:r>
        <w:rPr>
          <w:highlight w:val="yellow"/>
        </w:rPr>
        <w:fldChar w:fldCharType="end"/>
      </w:r>
    </w:p>
    <w:p>
      <w:pPr>
        <w:spacing w:before="120" w:after="120"/>
        <w:jc w:val="both"/>
        <w:rPr>
          <w:highlight w:val="yellow"/>
        </w:rPr>
      </w:pPr>
      <w:r>
        <w:rPr>
          <w:highlight w:val="yellow"/>
        </w:rPr>
        <w:fldChar w:fldCharType="end"/>
      </w:r>
    </w:p>
    <w:p>
      <w:pPr>
        <w:pStyle w:val="2"/>
        <w:spacing w:before="120" w:after="120"/>
        <w:ind w:left="0"/>
        <w:rPr>
          <w:rFonts w:eastAsia="宋体"/>
        </w:rPr>
      </w:pPr>
      <w:r>
        <w:rPr>
          <w:rFonts w:hint="eastAsia" w:eastAsia="宋体"/>
        </w:rPr>
        <w:t>Reference</w:t>
      </w:r>
      <w:r>
        <w:rPr>
          <w:rFonts w:eastAsia="宋体"/>
        </w:rPr>
        <w:t>s</w:t>
      </w:r>
      <w:r>
        <w:rPr>
          <w:rFonts w:hint="eastAsia" w:eastAsia="宋体"/>
        </w:rPr>
        <w:tab/>
      </w:r>
    </w:p>
    <w:p>
      <w:pPr>
        <w:pStyle w:val="39"/>
        <w:spacing w:before="120" w:after="120"/>
        <w:ind w:left="363" w:hanging="363"/>
      </w:pPr>
      <w:r>
        <w:rPr>
          <w:rFonts w:hint="eastAsia"/>
        </w:rPr>
        <w:t>RP-234080, New WID: XR (eXtended Reality) for NR Phase 3, Nokia, 3GPP TSG RAN Meeting #102, Edinburgh, Scotland, December 11th-15th, 2023.</w:t>
      </w:r>
    </w:p>
    <w:p>
      <w:pPr>
        <w:pStyle w:val="39"/>
        <w:spacing w:before="120" w:after="120"/>
        <w:ind w:left="363" w:hanging="363"/>
      </w:pPr>
      <w:r>
        <w:rPr>
          <w:rFonts w:hint="eastAsia"/>
        </w:rPr>
        <w:t>TS 38.133, V18.3.0, User Equipment (UE) radio transmission and reception; Part 1: Range 1 Standalone (Release 18)</w:t>
      </w:r>
    </w:p>
    <w:p>
      <w:pPr>
        <w:pStyle w:val="39"/>
        <w:spacing w:before="120" w:after="120"/>
        <w:ind w:left="363" w:hanging="363"/>
      </w:pPr>
      <w:r>
        <w:rPr>
          <w:rFonts w:hint="eastAsia"/>
        </w:rPr>
        <w:t xml:space="preserve">R4-2321641, </w:t>
      </w:r>
      <w:r>
        <w:rPr>
          <w:rFonts w:hint="eastAsia"/>
        </w:rPr>
        <w:fldChar w:fldCharType="begin"/>
      </w:r>
      <w:r>
        <w:rPr>
          <w:rFonts w:hint="eastAsia"/>
        </w:rPr>
        <w:instrText xml:space="preserve"> DOCPROPERTY  CrTitle  \* MERGEFORMAT </w:instrText>
      </w:r>
      <w:r>
        <w:rPr>
          <w:rFonts w:hint="eastAsia"/>
        </w:rPr>
        <w:fldChar w:fldCharType="separate"/>
      </w:r>
      <w:r>
        <w:rPr>
          <w:rFonts w:hint="eastAsia"/>
        </w:rPr>
        <w:t xml:space="preserve">Big CR to TS 38.133 on Further NR mobility enhancements. RAN4#109, 2023. </w:t>
      </w:r>
      <w:r>
        <w:rPr>
          <w:rFonts w:hint="eastAsia"/>
        </w:rPr>
        <w:fldChar w:fldCharType="end"/>
      </w:r>
    </w:p>
    <w:p>
      <w:pPr>
        <w:pStyle w:val="39"/>
        <w:spacing w:before="120" w:after="120"/>
        <w:ind w:left="363" w:hanging="363"/>
      </w:pPr>
      <w:r>
        <w:rPr>
          <w:rFonts w:hint="eastAsia"/>
        </w:rPr>
        <w:t>TS 38.331, V18.0.0, Radio Resource Control (RRC) protocol specification (Release 18)</w:t>
      </w:r>
    </w:p>
    <w:p>
      <w:pPr>
        <w:pStyle w:val="39"/>
        <w:numPr>
          <w:ilvl w:val="0"/>
          <w:numId w:val="0"/>
        </w:numPr>
        <w:spacing w:before="120" w:after="120"/>
      </w:pPr>
    </w:p>
    <w:p>
      <w:pPr>
        <w:pStyle w:val="39"/>
        <w:numPr>
          <w:ilvl w:val="0"/>
          <w:numId w:val="0"/>
        </w:numPr>
        <w:spacing w:before="120" w:after="120"/>
        <w:rPr>
          <w:color w:val="FF0000"/>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pPr>
                            <w:pStyle w:val="18"/>
                            <w:spacing w:before="120" w:after="120"/>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8"/>
                      <w:spacing w:before="120" w:after="120"/>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34B193"/>
    <w:multiLevelType w:val="singleLevel"/>
    <w:tmpl w:val="AB34B193"/>
    <w:lvl w:ilvl="0" w:tentative="0">
      <w:start w:val="1"/>
      <w:numFmt w:val="decimal"/>
      <w:pStyle w:val="60"/>
      <w:lvlText w:val="Observation %1: "/>
      <w:lvlJc w:val="left"/>
      <w:pPr>
        <w:tabs>
          <w:tab w:val="left" w:pos="0"/>
        </w:tabs>
        <w:ind w:left="0" w:firstLine="0"/>
      </w:pPr>
      <w:rPr>
        <w:rFonts w:hint="default" w:ascii="Times New Roman" w:hAnsi="Times New Roman" w:eastAsia="宋体" w:cs="Times New Roman"/>
        <w:b/>
        <w:bCs/>
        <w:i/>
        <w:iCs/>
        <w:lang w:val="en-US"/>
      </w:rPr>
    </w:lvl>
  </w:abstractNum>
  <w:abstractNum w:abstractNumId="1">
    <w:nsid w:val="BD0CA652"/>
    <w:multiLevelType w:val="multilevel"/>
    <w:tmpl w:val="BD0CA652"/>
    <w:lvl w:ilvl="0" w:tentative="0">
      <w:start w:val="1"/>
      <w:numFmt w:val="decimal"/>
      <w:pStyle w:val="63"/>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EC720305"/>
    <w:multiLevelType w:val="singleLevel"/>
    <w:tmpl w:val="EC720305"/>
    <w:lvl w:ilvl="0" w:tentative="0">
      <w:start w:val="1"/>
      <w:numFmt w:val="bullet"/>
      <w:lvlText w:val=""/>
      <w:lvlJc w:val="left"/>
      <w:pPr>
        <w:tabs>
          <w:tab w:val="left" w:pos="420"/>
        </w:tabs>
        <w:ind w:left="840" w:hanging="420"/>
      </w:pPr>
      <w:rPr>
        <w:rFonts w:hint="default" w:ascii="Wingdings" w:hAnsi="Wingdings" w:cs="Wingdings"/>
      </w:rPr>
    </w:lvl>
  </w:abstractNum>
  <w:abstractNum w:abstractNumId="3">
    <w:nsid w:val="0BDD5F2B"/>
    <w:multiLevelType w:val="multilevel"/>
    <w:tmpl w:val="0BDD5F2B"/>
    <w:lvl w:ilvl="0" w:tentative="0">
      <w:start w:val="1"/>
      <w:numFmt w:val="decimal"/>
      <w:pStyle w:val="2"/>
      <w:suff w:val="nothing"/>
      <w:lvlText w:val="%1  "/>
      <w:lvlJc w:val="left"/>
      <w:pPr>
        <w:ind w:left="4962"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2977"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2.%3  "/>
      <w:lvlJc w:val="left"/>
      <w:pPr>
        <w:ind w:left="0" w:firstLine="0"/>
      </w:pPr>
      <w:rPr>
        <w:rFonts w:hint="default" w:ascii="Arial" w:hAnsi="Arial" w:cs="Arial"/>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0F8B25F"/>
    <w:multiLevelType w:val="multilevel"/>
    <w:tmpl w:val="30F8B25F"/>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5">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6">
    <w:nsid w:val="427965F9"/>
    <w:multiLevelType w:val="multilevel"/>
    <w:tmpl w:val="427965F9"/>
    <w:lvl w:ilvl="0" w:tentative="0">
      <w:start w:val="1"/>
      <w:numFmt w:val="bullet"/>
      <w:lvlText w:val="•"/>
      <w:lvlJc w:val="left"/>
      <w:pPr>
        <w:tabs>
          <w:tab w:val="left" w:pos="720"/>
        </w:tabs>
        <w:ind w:left="720" w:hanging="360"/>
      </w:pPr>
      <w:rPr>
        <w:rFonts w:hint="default" w:ascii="Arial" w:hAnsi="Arial"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3"/>
  </w:num>
  <w:num w:numId="2">
    <w:abstractNumId w:val="5"/>
  </w:num>
  <w:num w:numId="3">
    <w:abstractNumId w:val="0"/>
  </w:num>
  <w:num w:numId="4">
    <w:abstractNumId w:val="1"/>
  </w:num>
  <w:num w:numId="5">
    <w:abstractNumId w:val="6"/>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50423"/>
    <w:rsid w:val="00051F4E"/>
    <w:rsid w:val="000529AC"/>
    <w:rsid w:val="00072FB0"/>
    <w:rsid w:val="00093DF3"/>
    <w:rsid w:val="000A15BE"/>
    <w:rsid w:val="000C1A96"/>
    <w:rsid w:val="000D0462"/>
    <w:rsid w:val="000E2433"/>
    <w:rsid w:val="000E3EA5"/>
    <w:rsid w:val="000F28CA"/>
    <w:rsid w:val="00103906"/>
    <w:rsid w:val="00142961"/>
    <w:rsid w:val="001470AA"/>
    <w:rsid w:val="00153BF7"/>
    <w:rsid w:val="0016113B"/>
    <w:rsid w:val="001632AB"/>
    <w:rsid w:val="00172A27"/>
    <w:rsid w:val="001754AE"/>
    <w:rsid w:val="0018732E"/>
    <w:rsid w:val="00191912"/>
    <w:rsid w:val="00195F46"/>
    <w:rsid w:val="001B3634"/>
    <w:rsid w:val="001C1894"/>
    <w:rsid w:val="001C196F"/>
    <w:rsid w:val="001D1287"/>
    <w:rsid w:val="001E125B"/>
    <w:rsid w:val="001E262F"/>
    <w:rsid w:val="001F1BB1"/>
    <w:rsid w:val="001F415E"/>
    <w:rsid w:val="001F6E58"/>
    <w:rsid w:val="0020406B"/>
    <w:rsid w:val="00212872"/>
    <w:rsid w:val="00216169"/>
    <w:rsid w:val="002240E1"/>
    <w:rsid w:val="00224A1A"/>
    <w:rsid w:val="00227DF5"/>
    <w:rsid w:val="002320CA"/>
    <w:rsid w:val="002401EC"/>
    <w:rsid w:val="00243B44"/>
    <w:rsid w:val="00244ABB"/>
    <w:rsid w:val="00247A67"/>
    <w:rsid w:val="00251814"/>
    <w:rsid w:val="00256B05"/>
    <w:rsid w:val="00261C72"/>
    <w:rsid w:val="0026766E"/>
    <w:rsid w:val="002748A9"/>
    <w:rsid w:val="00282069"/>
    <w:rsid w:val="002B4661"/>
    <w:rsid w:val="002C4448"/>
    <w:rsid w:val="002C68AC"/>
    <w:rsid w:val="002C7CCD"/>
    <w:rsid w:val="002F037D"/>
    <w:rsid w:val="002F0E7A"/>
    <w:rsid w:val="002F2535"/>
    <w:rsid w:val="002F5687"/>
    <w:rsid w:val="002F5A8D"/>
    <w:rsid w:val="00302F20"/>
    <w:rsid w:val="00303936"/>
    <w:rsid w:val="00314748"/>
    <w:rsid w:val="00316046"/>
    <w:rsid w:val="00317501"/>
    <w:rsid w:val="00322EE2"/>
    <w:rsid w:val="00325902"/>
    <w:rsid w:val="003275A3"/>
    <w:rsid w:val="00332D30"/>
    <w:rsid w:val="0033573E"/>
    <w:rsid w:val="00335FF9"/>
    <w:rsid w:val="0034009F"/>
    <w:rsid w:val="00340631"/>
    <w:rsid w:val="00343CE4"/>
    <w:rsid w:val="00344E48"/>
    <w:rsid w:val="003466BB"/>
    <w:rsid w:val="0035253F"/>
    <w:rsid w:val="00361D52"/>
    <w:rsid w:val="003704FF"/>
    <w:rsid w:val="00370D7F"/>
    <w:rsid w:val="00372A00"/>
    <w:rsid w:val="00373667"/>
    <w:rsid w:val="00376E4B"/>
    <w:rsid w:val="00376EEB"/>
    <w:rsid w:val="003872BB"/>
    <w:rsid w:val="00396F31"/>
    <w:rsid w:val="00397BA3"/>
    <w:rsid w:val="003A1DCE"/>
    <w:rsid w:val="003A4365"/>
    <w:rsid w:val="003A6BBE"/>
    <w:rsid w:val="003A7EAD"/>
    <w:rsid w:val="003B53DF"/>
    <w:rsid w:val="003D44C6"/>
    <w:rsid w:val="003F7415"/>
    <w:rsid w:val="004003D2"/>
    <w:rsid w:val="00417C55"/>
    <w:rsid w:val="004209E1"/>
    <w:rsid w:val="0042238B"/>
    <w:rsid w:val="00424C58"/>
    <w:rsid w:val="00450C17"/>
    <w:rsid w:val="004527B1"/>
    <w:rsid w:val="004545A5"/>
    <w:rsid w:val="004608F6"/>
    <w:rsid w:val="004724B4"/>
    <w:rsid w:val="00472B06"/>
    <w:rsid w:val="00477655"/>
    <w:rsid w:val="0048120F"/>
    <w:rsid w:val="00482706"/>
    <w:rsid w:val="00490434"/>
    <w:rsid w:val="004A142B"/>
    <w:rsid w:val="004A5D1D"/>
    <w:rsid w:val="004A699E"/>
    <w:rsid w:val="004B44A9"/>
    <w:rsid w:val="004C1A54"/>
    <w:rsid w:val="004F5994"/>
    <w:rsid w:val="00500F45"/>
    <w:rsid w:val="00503921"/>
    <w:rsid w:val="00507A00"/>
    <w:rsid w:val="005176E7"/>
    <w:rsid w:val="00523589"/>
    <w:rsid w:val="00523668"/>
    <w:rsid w:val="00523AD9"/>
    <w:rsid w:val="00523D5E"/>
    <w:rsid w:val="00527033"/>
    <w:rsid w:val="00531B5B"/>
    <w:rsid w:val="00532500"/>
    <w:rsid w:val="005349A5"/>
    <w:rsid w:val="00541B22"/>
    <w:rsid w:val="00546436"/>
    <w:rsid w:val="00547723"/>
    <w:rsid w:val="00564BCB"/>
    <w:rsid w:val="00572F6E"/>
    <w:rsid w:val="00574776"/>
    <w:rsid w:val="0058526A"/>
    <w:rsid w:val="0059321F"/>
    <w:rsid w:val="00593818"/>
    <w:rsid w:val="005A05C6"/>
    <w:rsid w:val="005A0FE9"/>
    <w:rsid w:val="005B77A5"/>
    <w:rsid w:val="005C6B42"/>
    <w:rsid w:val="005D6A1C"/>
    <w:rsid w:val="005E2C89"/>
    <w:rsid w:val="005F26E5"/>
    <w:rsid w:val="00611232"/>
    <w:rsid w:val="00614E28"/>
    <w:rsid w:val="00617327"/>
    <w:rsid w:val="00617EE7"/>
    <w:rsid w:val="00620288"/>
    <w:rsid w:val="00620D7C"/>
    <w:rsid w:val="006231ED"/>
    <w:rsid w:val="00624C23"/>
    <w:rsid w:val="00633E43"/>
    <w:rsid w:val="00637D11"/>
    <w:rsid w:val="00640B94"/>
    <w:rsid w:val="00642298"/>
    <w:rsid w:val="00646EAA"/>
    <w:rsid w:val="006501AA"/>
    <w:rsid w:val="006536B8"/>
    <w:rsid w:val="00654F58"/>
    <w:rsid w:val="00676C72"/>
    <w:rsid w:val="00680FFF"/>
    <w:rsid w:val="00691376"/>
    <w:rsid w:val="006922EF"/>
    <w:rsid w:val="00694EF8"/>
    <w:rsid w:val="00694FB9"/>
    <w:rsid w:val="006C2229"/>
    <w:rsid w:val="006C55B1"/>
    <w:rsid w:val="006C69C1"/>
    <w:rsid w:val="006D11DE"/>
    <w:rsid w:val="006D3D89"/>
    <w:rsid w:val="006E01C3"/>
    <w:rsid w:val="006F4852"/>
    <w:rsid w:val="00700636"/>
    <w:rsid w:val="00701BF9"/>
    <w:rsid w:val="007036F7"/>
    <w:rsid w:val="0070691A"/>
    <w:rsid w:val="0070693A"/>
    <w:rsid w:val="0071249F"/>
    <w:rsid w:val="00717A38"/>
    <w:rsid w:val="0073053B"/>
    <w:rsid w:val="00735DC1"/>
    <w:rsid w:val="007427BB"/>
    <w:rsid w:val="007440A2"/>
    <w:rsid w:val="00745143"/>
    <w:rsid w:val="00747C56"/>
    <w:rsid w:val="007501AC"/>
    <w:rsid w:val="00762F1B"/>
    <w:rsid w:val="0076682E"/>
    <w:rsid w:val="0077581A"/>
    <w:rsid w:val="0077761A"/>
    <w:rsid w:val="00784828"/>
    <w:rsid w:val="00785A2A"/>
    <w:rsid w:val="00786A2C"/>
    <w:rsid w:val="00787FA9"/>
    <w:rsid w:val="007A0CD8"/>
    <w:rsid w:val="007B0FD9"/>
    <w:rsid w:val="007B458B"/>
    <w:rsid w:val="007C4328"/>
    <w:rsid w:val="007C440F"/>
    <w:rsid w:val="007E4A23"/>
    <w:rsid w:val="007F39F4"/>
    <w:rsid w:val="00802A15"/>
    <w:rsid w:val="00810C42"/>
    <w:rsid w:val="00816EF3"/>
    <w:rsid w:val="008266C4"/>
    <w:rsid w:val="008412CD"/>
    <w:rsid w:val="0084332A"/>
    <w:rsid w:val="00847621"/>
    <w:rsid w:val="00852635"/>
    <w:rsid w:val="0085443B"/>
    <w:rsid w:val="00857E93"/>
    <w:rsid w:val="008652E8"/>
    <w:rsid w:val="00870679"/>
    <w:rsid w:val="00870E40"/>
    <w:rsid w:val="00886E49"/>
    <w:rsid w:val="00886EA7"/>
    <w:rsid w:val="00892B4C"/>
    <w:rsid w:val="00893268"/>
    <w:rsid w:val="0089344F"/>
    <w:rsid w:val="00894520"/>
    <w:rsid w:val="008A72B5"/>
    <w:rsid w:val="008B3130"/>
    <w:rsid w:val="008B547D"/>
    <w:rsid w:val="008B5C48"/>
    <w:rsid w:val="008B7F10"/>
    <w:rsid w:val="008C0445"/>
    <w:rsid w:val="008F255E"/>
    <w:rsid w:val="008F3DC8"/>
    <w:rsid w:val="00903A35"/>
    <w:rsid w:val="00922624"/>
    <w:rsid w:val="00923BDA"/>
    <w:rsid w:val="0093617A"/>
    <w:rsid w:val="009411A5"/>
    <w:rsid w:val="00946A7C"/>
    <w:rsid w:val="00950DB1"/>
    <w:rsid w:val="00952C83"/>
    <w:rsid w:val="00957418"/>
    <w:rsid w:val="009610C6"/>
    <w:rsid w:val="0096194F"/>
    <w:rsid w:val="00966E7D"/>
    <w:rsid w:val="00970630"/>
    <w:rsid w:val="00971A1F"/>
    <w:rsid w:val="009734B7"/>
    <w:rsid w:val="00983FE2"/>
    <w:rsid w:val="00986B97"/>
    <w:rsid w:val="00994A41"/>
    <w:rsid w:val="009A380A"/>
    <w:rsid w:val="009A3A36"/>
    <w:rsid w:val="009A4F31"/>
    <w:rsid w:val="009B05AD"/>
    <w:rsid w:val="009B18A3"/>
    <w:rsid w:val="009B5557"/>
    <w:rsid w:val="009D6400"/>
    <w:rsid w:val="009D7770"/>
    <w:rsid w:val="009D7C12"/>
    <w:rsid w:val="009F65A8"/>
    <w:rsid w:val="009F7747"/>
    <w:rsid w:val="00A05A33"/>
    <w:rsid w:val="00A14F22"/>
    <w:rsid w:val="00A171E5"/>
    <w:rsid w:val="00A17810"/>
    <w:rsid w:val="00A21523"/>
    <w:rsid w:val="00A26720"/>
    <w:rsid w:val="00A33BD9"/>
    <w:rsid w:val="00A40C3F"/>
    <w:rsid w:val="00A4182C"/>
    <w:rsid w:val="00A50B2A"/>
    <w:rsid w:val="00A51CDD"/>
    <w:rsid w:val="00A54A48"/>
    <w:rsid w:val="00A551E2"/>
    <w:rsid w:val="00A56849"/>
    <w:rsid w:val="00A656E5"/>
    <w:rsid w:val="00A809DB"/>
    <w:rsid w:val="00A86EB5"/>
    <w:rsid w:val="00A91773"/>
    <w:rsid w:val="00A92854"/>
    <w:rsid w:val="00A92CA8"/>
    <w:rsid w:val="00A94652"/>
    <w:rsid w:val="00AA1889"/>
    <w:rsid w:val="00AB0AAF"/>
    <w:rsid w:val="00AB251B"/>
    <w:rsid w:val="00AB5108"/>
    <w:rsid w:val="00AB6D34"/>
    <w:rsid w:val="00AC24BF"/>
    <w:rsid w:val="00AC5F8D"/>
    <w:rsid w:val="00AD56C4"/>
    <w:rsid w:val="00AD7FE5"/>
    <w:rsid w:val="00AE18E8"/>
    <w:rsid w:val="00AE5530"/>
    <w:rsid w:val="00B031EF"/>
    <w:rsid w:val="00B11405"/>
    <w:rsid w:val="00B138E9"/>
    <w:rsid w:val="00B179E3"/>
    <w:rsid w:val="00B245AA"/>
    <w:rsid w:val="00B34FF8"/>
    <w:rsid w:val="00B43645"/>
    <w:rsid w:val="00B54730"/>
    <w:rsid w:val="00B56091"/>
    <w:rsid w:val="00B60F6C"/>
    <w:rsid w:val="00B663FA"/>
    <w:rsid w:val="00B76824"/>
    <w:rsid w:val="00B81C3C"/>
    <w:rsid w:val="00B87AB7"/>
    <w:rsid w:val="00BA72B7"/>
    <w:rsid w:val="00BA7674"/>
    <w:rsid w:val="00BB08C4"/>
    <w:rsid w:val="00BD72A5"/>
    <w:rsid w:val="00BE22EC"/>
    <w:rsid w:val="00BE5D22"/>
    <w:rsid w:val="00BF526E"/>
    <w:rsid w:val="00BF743C"/>
    <w:rsid w:val="00C07C74"/>
    <w:rsid w:val="00C12784"/>
    <w:rsid w:val="00C16276"/>
    <w:rsid w:val="00C2142E"/>
    <w:rsid w:val="00C22FCF"/>
    <w:rsid w:val="00C2334E"/>
    <w:rsid w:val="00C2713A"/>
    <w:rsid w:val="00C34FD0"/>
    <w:rsid w:val="00C625E3"/>
    <w:rsid w:val="00C636E5"/>
    <w:rsid w:val="00C67AE3"/>
    <w:rsid w:val="00C76271"/>
    <w:rsid w:val="00C829B3"/>
    <w:rsid w:val="00C855D2"/>
    <w:rsid w:val="00C922BC"/>
    <w:rsid w:val="00C925E7"/>
    <w:rsid w:val="00CA09F5"/>
    <w:rsid w:val="00CA152B"/>
    <w:rsid w:val="00CB03D7"/>
    <w:rsid w:val="00CB046A"/>
    <w:rsid w:val="00CB7FB3"/>
    <w:rsid w:val="00CC01B0"/>
    <w:rsid w:val="00CC11A8"/>
    <w:rsid w:val="00CD5E4A"/>
    <w:rsid w:val="00CD62C4"/>
    <w:rsid w:val="00CE32ED"/>
    <w:rsid w:val="00CF0062"/>
    <w:rsid w:val="00CF25E8"/>
    <w:rsid w:val="00CF4293"/>
    <w:rsid w:val="00D06F00"/>
    <w:rsid w:val="00D14578"/>
    <w:rsid w:val="00D24465"/>
    <w:rsid w:val="00D27BF8"/>
    <w:rsid w:val="00D30D70"/>
    <w:rsid w:val="00D30FF6"/>
    <w:rsid w:val="00D54F1B"/>
    <w:rsid w:val="00D57D7B"/>
    <w:rsid w:val="00D60DA9"/>
    <w:rsid w:val="00D701BB"/>
    <w:rsid w:val="00D714E2"/>
    <w:rsid w:val="00D7289E"/>
    <w:rsid w:val="00D82051"/>
    <w:rsid w:val="00D82CF5"/>
    <w:rsid w:val="00D838A0"/>
    <w:rsid w:val="00D871C4"/>
    <w:rsid w:val="00D8785A"/>
    <w:rsid w:val="00D91349"/>
    <w:rsid w:val="00D92E3B"/>
    <w:rsid w:val="00DB0E95"/>
    <w:rsid w:val="00DB12AD"/>
    <w:rsid w:val="00DC0C4F"/>
    <w:rsid w:val="00DC1213"/>
    <w:rsid w:val="00DC6E1E"/>
    <w:rsid w:val="00DC70F6"/>
    <w:rsid w:val="00DC724A"/>
    <w:rsid w:val="00DD5F49"/>
    <w:rsid w:val="00DF4482"/>
    <w:rsid w:val="00E05651"/>
    <w:rsid w:val="00E068AA"/>
    <w:rsid w:val="00E258FC"/>
    <w:rsid w:val="00E30348"/>
    <w:rsid w:val="00E339EA"/>
    <w:rsid w:val="00E52879"/>
    <w:rsid w:val="00E55791"/>
    <w:rsid w:val="00E56340"/>
    <w:rsid w:val="00E67009"/>
    <w:rsid w:val="00E704FD"/>
    <w:rsid w:val="00E74935"/>
    <w:rsid w:val="00E75D6F"/>
    <w:rsid w:val="00E8609B"/>
    <w:rsid w:val="00E92BF0"/>
    <w:rsid w:val="00E94718"/>
    <w:rsid w:val="00E95FFE"/>
    <w:rsid w:val="00EA0820"/>
    <w:rsid w:val="00EB70EA"/>
    <w:rsid w:val="00ED0DCA"/>
    <w:rsid w:val="00ED47A7"/>
    <w:rsid w:val="00EE1EE7"/>
    <w:rsid w:val="00F019E9"/>
    <w:rsid w:val="00F05DFC"/>
    <w:rsid w:val="00F072E8"/>
    <w:rsid w:val="00F143A1"/>
    <w:rsid w:val="00F1480F"/>
    <w:rsid w:val="00F179F3"/>
    <w:rsid w:val="00F2072B"/>
    <w:rsid w:val="00F34277"/>
    <w:rsid w:val="00F4372E"/>
    <w:rsid w:val="00F453FE"/>
    <w:rsid w:val="00F71825"/>
    <w:rsid w:val="00F80169"/>
    <w:rsid w:val="00F81514"/>
    <w:rsid w:val="00F82200"/>
    <w:rsid w:val="00F86352"/>
    <w:rsid w:val="00F87040"/>
    <w:rsid w:val="00F95A32"/>
    <w:rsid w:val="00FA3FD9"/>
    <w:rsid w:val="00FA6AF6"/>
    <w:rsid w:val="00FA7D65"/>
    <w:rsid w:val="00FB593A"/>
    <w:rsid w:val="00FC20D8"/>
    <w:rsid w:val="00FC72FB"/>
    <w:rsid w:val="00FE0900"/>
    <w:rsid w:val="010D0267"/>
    <w:rsid w:val="010D6400"/>
    <w:rsid w:val="01116D56"/>
    <w:rsid w:val="011768D6"/>
    <w:rsid w:val="011C7F2E"/>
    <w:rsid w:val="01466B34"/>
    <w:rsid w:val="015462A2"/>
    <w:rsid w:val="01804EE8"/>
    <w:rsid w:val="01864AED"/>
    <w:rsid w:val="01881F56"/>
    <w:rsid w:val="01B74129"/>
    <w:rsid w:val="01C652D7"/>
    <w:rsid w:val="01E24E7A"/>
    <w:rsid w:val="01E96EEF"/>
    <w:rsid w:val="0206750A"/>
    <w:rsid w:val="02081A95"/>
    <w:rsid w:val="020C3735"/>
    <w:rsid w:val="0213167F"/>
    <w:rsid w:val="021919F7"/>
    <w:rsid w:val="021F5697"/>
    <w:rsid w:val="023E4DC6"/>
    <w:rsid w:val="023F0143"/>
    <w:rsid w:val="02443513"/>
    <w:rsid w:val="024C16A6"/>
    <w:rsid w:val="027B6543"/>
    <w:rsid w:val="027C2452"/>
    <w:rsid w:val="0294765E"/>
    <w:rsid w:val="02A23A7B"/>
    <w:rsid w:val="02BE42E8"/>
    <w:rsid w:val="031A6DDF"/>
    <w:rsid w:val="032219B3"/>
    <w:rsid w:val="035F7137"/>
    <w:rsid w:val="0368661B"/>
    <w:rsid w:val="03817C6C"/>
    <w:rsid w:val="03F50BF8"/>
    <w:rsid w:val="03F757EE"/>
    <w:rsid w:val="040D5006"/>
    <w:rsid w:val="04176B15"/>
    <w:rsid w:val="04250069"/>
    <w:rsid w:val="04332B60"/>
    <w:rsid w:val="044D1A33"/>
    <w:rsid w:val="04B147BC"/>
    <w:rsid w:val="04BB6B80"/>
    <w:rsid w:val="04BC60C1"/>
    <w:rsid w:val="04C30E81"/>
    <w:rsid w:val="04D2235B"/>
    <w:rsid w:val="04D92E2A"/>
    <w:rsid w:val="04E942AF"/>
    <w:rsid w:val="05072F43"/>
    <w:rsid w:val="051A21ED"/>
    <w:rsid w:val="052E7C86"/>
    <w:rsid w:val="05396067"/>
    <w:rsid w:val="053962A9"/>
    <w:rsid w:val="05421686"/>
    <w:rsid w:val="054B7C66"/>
    <w:rsid w:val="054E3F97"/>
    <w:rsid w:val="054F7EC4"/>
    <w:rsid w:val="055F3E8F"/>
    <w:rsid w:val="05631304"/>
    <w:rsid w:val="05965B13"/>
    <w:rsid w:val="05AA751F"/>
    <w:rsid w:val="05AB3E4C"/>
    <w:rsid w:val="05C40254"/>
    <w:rsid w:val="05D01949"/>
    <w:rsid w:val="05D45DE8"/>
    <w:rsid w:val="05DD3B0E"/>
    <w:rsid w:val="061E71D7"/>
    <w:rsid w:val="064D537E"/>
    <w:rsid w:val="06541F59"/>
    <w:rsid w:val="06551195"/>
    <w:rsid w:val="066754CD"/>
    <w:rsid w:val="067056D9"/>
    <w:rsid w:val="067A5C39"/>
    <w:rsid w:val="067F5C8B"/>
    <w:rsid w:val="06883795"/>
    <w:rsid w:val="069258CC"/>
    <w:rsid w:val="06A12B72"/>
    <w:rsid w:val="06D94F62"/>
    <w:rsid w:val="06E930D6"/>
    <w:rsid w:val="06F9688C"/>
    <w:rsid w:val="06FA3145"/>
    <w:rsid w:val="073C0F1E"/>
    <w:rsid w:val="07573824"/>
    <w:rsid w:val="075A5568"/>
    <w:rsid w:val="077046F9"/>
    <w:rsid w:val="07816512"/>
    <w:rsid w:val="0797540B"/>
    <w:rsid w:val="07C51163"/>
    <w:rsid w:val="07F63B68"/>
    <w:rsid w:val="07FE43B3"/>
    <w:rsid w:val="07FF469C"/>
    <w:rsid w:val="08015806"/>
    <w:rsid w:val="08067A83"/>
    <w:rsid w:val="080C2DB1"/>
    <w:rsid w:val="083900EE"/>
    <w:rsid w:val="084F55D9"/>
    <w:rsid w:val="086F5C08"/>
    <w:rsid w:val="087807B5"/>
    <w:rsid w:val="087C2BF1"/>
    <w:rsid w:val="089D4BC3"/>
    <w:rsid w:val="08A367A0"/>
    <w:rsid w:val="08AD693C"/>
    <w:rsid w:val="08CA4673"/>
    <w:rsid w:val="08D24C49"/>
    <w:rsid w:val="08D545C6"/>
    <w:rsid w:val="08D92F9A"/>
    <w:rsid w:val="08E152BA"/>
    <w:rsid w:val="08E3236B"/>
    <w:rsid w:val="08E41C3F"/>
    <w:rsid w:val="08F362FF"/>
    <w:rsid w:val="08F76659"/>
    <w:rsid w:val="092A35DC"/>
    <w:rsid w:val="09733A93"/>
    <w:rsid w:val="09773AD2"/>
    <w:rsid w:val="09912D87"/>
    <w:rsid w:val="099D1F0E"/>
    <w:rsid w:val="09A13012"/>
    <w:rsid w:val="09B8038E"/>
    <w:rsid w:val="09B807DC"/>
    <w:rsid w:val="09B96487"/>
    <w:rsid w:val="09BB1324"/>
    <w:rsid w:val="09DD5F33"/>
    <w:rsid w:val="09E2510B"/>
    <w:rsid w:val="09E2618B"/>
    <w:rsid w:val="0A0D0A5C"/>
    <w:rsid w:val="0A1332A7"/>
    <w:rsid w:val="0A1434BD"/>
    <w:rsid w:val="0A177598"/>
    <w:rsid w:val="0A2A0A4E"/>
    <w:rsid w:val="0A33259C"/>
    <w:rsid w:val="0A670FF2"/>
    <w:rsid w:val="0A902401"/>
    <w:rsid w:val="0AA04A08"/>
    <w:rsid w:val="0AC857E6"/>
    <w:rsid w:val="0AD619F4"/>
    <w:rsid w:val="0AF011AC"/>
    <w:rsid w:val="0AFE6CA0"/>
    <w:rsid w:val="0B133891"/>
    <w:rsid w:val="0B17278B"/>
    <w:rsid w:val="0B2161DE"/>
    <w:rsid w:val="0B24227A"/>
    <w:rsid w:val="0B2C066D"/>
    <w:rsid w:val="0B372F62"/>
    <w:rsid w:val="0B527D96"/>
    <w:rsid w:val="0B7E42D9"/>
    <w:rsid w:val="0B867DD4"/>
    <w:rsid w:val="0B8906D5"/>
    <w:rsid w:val="0B990F05"/>
    <w:rsid w:val="0BA163C4"/>
    <w:rsid w:val="0BBA4C3E"/>
    <w:rsid w:val="0BC527E7"/>
    <w:rsid w:val="0BDE30C9"/>
    <w:rsid w:val="0BE9216B"/>
    <w:rsid w:val="0C04199B"/>
    <w:rsid w:val="0C0569A5"/>
    <w:rsid w:val="0C0B0A79"/>
    <w:rsid w:val="0C182984"/>
    <w:rsid w:val="0C233DDB"/>
    <w:rsid w:val="0C243614"/>
    <w:rsid w:val="0C641CE4"/>
    <w:rsid w:val="0C8E4C85"/>
    <w:rsid w:val="0C9A21C7"/>
    <w:rsid w:val="0CBA3E26"/>
    <w:rsid w:val="0CC86926"/>
    <w:rsid w:val="0CCA2E65"/>
    <w:rsid w:val="0CD87B6A"/>
    <w:rsid w:val="0CE70F5A"/>
    <w:rsid w:val="0CED70FB"/>
    <w:rsid w:val="0CF04B26"/>
    <w:rsid w:val="0D274B82"/>
    <w:rsid w:val="0D6718A8"/>
    <w:rsid w:val="0D8A5C4C"/>
    <w:rsid w:val="0D9D3B84"/>
    <w:rsid w:val="0DA826B2"/>
    <w:rsid w:val="0DC46801"/>
    <w:rsid w:val="0DD03A03"/>
    <w:rsid w:val="0DDA5E66"/>
    <w:rsid w:val="0DDB1E7A"/>
    <w:rsid w:val="0DE80CCD"/>
    <w:rsid w:val="0DE92A73"/>
    <w:rsid w:val="0DFC6FB1"/>
    <w:rsid w:val="0E1B6666"/>
    <w:rsid w:val="0E342F61"/>
    <w:rsid w:val="0E546450"/>
    <w:rsid w:val="0E6A657A"/>
    <w:rsid w:val="0E8756CE"/>
    <w:rsid w:val="0E875907"/>
    <w:rsid w:val="0E9E306F"/>
    <w:rsid w:val="0EBE485B"/>
    <w:rsid w:val="0ECE319D"/>
    <w:rsid w:val="0EE11FA9"/>
    <w:rsid w:val="0EEE11BD"/>
    <w:rsid w:val="0EF36676"/>
    <w:rsid w:val="0EFF2521"/>
    <w:rsid w:val="0F0E45C0"/>
    <w:rsid w:val="0F121040"/>
    <w:rsid w:val="0F244800"/>
    <w:rsid w:val="0F343655"/>
    <w:rsid w:val="0F644218"/>
    <w:rsid w:val="0F7D1FFA"/>
    <w:rsid w:val="0F8E4908"/>
    <w:rsid w:val="0F913335"/>
    <w:rsid w:val="0F96680B"/>
    <w:rsid w:val="0FB60B75"/>
    <w:rsid w:val="0FD96CA9"/>
    <w:rsid w:val="0FDD68DC"/>
    <w:rsid w:val="0FF15BB9"/>
    <w:rsid w:val="0FF906E7"/>
    <w:rsid w:val="0FFD586A"/>
    <w:rsid w:val="10020B62"/>
    <w:rsid w:val="10087FF8"/>
    <w:rsid w:val="10135C77"/>
    <w:rsid w:val="1035011A"/>
    <w:rsid w:val="103607AE"/>
    <w:rsid w:val="10384280"/>
    <w:rsid w:val="105D7F23"/>
    <w:rsid w:val="108E0879"/>
    <w:rsid w:val="10B011B8"/>
    <w:rsid w:val="10C359D9"/>
    <w:rsid w:val="11011524"/>
    <w:rsid w:val="110877A1"/>
    <w:rsid w:val="110D72EA"/>
    <w:rsid w:val="110E7959"/>
    <w:rsid w:val="1119722C"/>
    <w:rsid w:val="1127264D"/>
    <w:rsid w:val="112F7E4A"/>
    <w:rsid w:val="11434434"/>
    <w:rsid w:val="114A05F1"/>
    <w:rsid w:val="115C58D6"/>
    <w:rsid w:val="11604BE2"/>
    <w:rsid w:val="118F4329"/>
    <w:rsid w:val="119F6D5C"/>
    <w:rsid w:val="11A0225A"/>
    <w:rsid w:val="11A922D8"/>
    <w:rsid w:val="11D45AE1"/>
    <w:rsid w:val="11E26CBA"/>
    <w:rsid w:val="11EA2125"/>
    <w:rsid w:val="12023099"/>
    <w:rsid w:val="12355F6F"/>
    <w:rsid w:val="12373AAE"/>
    <w:rsid w:val="123D7233"/>
    <w:rsid w:val="124D011C"/>
    <w:rsid w:val="125B107A"/>
    <w:rsid w:val="12753E07"/>
    <w:rsid w:val="127B28B7"/>
    <w:rsid w:val="129245E5"/>
    <w:rsid w:val="12C10D7D"/>
    <w:rsid w:val="12CE1204"/>
    <w:rsid w:val="12F06EE1"/>
    <w:rsid w:val="12F32533"/>
    <w:rsid w:val="12F34854"/>
    <w:rsid w:val="13153AEF"/>
    <w:rsid w:val="134F7B0B"/>
    <w:rsid w:val="13683A5C"/>
    <w:rsid w:val="137C5217"/>
    <w:rsid w:val="13917553"/>
    <w:rsid w:val="13B07F3E"/>
    <w:rsid w:val="13B26405"/>
    <w:rsid w:val="13BF5ED3"/>
    <w:rsid w:val="13FD1C15"/>
    <w:rsid w:val="14083C98"/>
    <w:rsid w:val="140876D8"/>
    <w:rsid w:val="141845E0"/>
    <w:rsid w:val="141C18EA"/>
    <w:rsid w:val="141F1808"/>
    <w:rsid w:val="142E08FB"/>
    <w:rsid w:val="142F47CB"/>
    <w:rsid w:val="142F7B6B"/>
    <w:rsid w:val="1441758D"/>
    <w:rsid w:val="145B1FDF"/>
    <w:rsid w:val="145E7A95"/>
    <w:rsid w:val="146575A3"/>
    <w:rsid w:val="148B15E0"/>
    <w:rsid w:val="14D20D9B"/>
    <w:rsid w:val="14F20D79"/>
    <w:rsid w:val="15006FBE"/>
    <w:rsid w:val="151F6B5A"/>
    <w:rsid w:val="15212130"/>
    <w:rsid w:val="156542CB"/>
    <w:rsid w:val="158014E9"/>
    <w:rsid w:val="158A5B50"/>
    <w:rsid w:val="159F23B3"/>
    <w:rsid w:val="15A2498C"/>
    <w:rsid w:val="15B66B91"/>
    <w:rsid w:val="15C3420A"/>
    <w:rsid w:val="15E47F68"/>
    <w:rsid w:val="15FF6EEC"/>
    <w:rsid w:val="16041E01"/>
    <w:rsid w:val="16232CF9"/>
    <w:rsid w:val="16262029"/>
    <w:rsid w:val="16397749"/>
    <w:rsid w:val="16406CEA"/>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D41EE"/>
    <w:rsid w:val="1780422F"/>
    <w:rsid w:val="17A75F25"/>
    <w:rsid w:val="17AA5C9C"/>
    <w:rsid w:val="17BD6AB4"/>
    <w:rsid w:val="17C023C9"/>
    <w:rsid w:val="17EF5DD9"/>
    <w:rsid w:val="1818083E"/>
    <w:rsid w:val="181A2BD1"/>
    <w:rsid w:val="184253B9"/>
    <w:rsid w:val="18434C37"/>
    <w:rsid w:val="186202E0"/>
    <w:rsid w:val="18655B8E"/>
    <w:rsid w:val="186E43F1"/>
    <w:rsid w:val="18875C71"/>
    <w:rsid w:val="18B80BCE"/>
    <w:rsid w:val="18C06461"/>
    <w:rsid w:val="18C66922"/>
    <w:rsid w:val="18D15598"/>
    <w:rsid w:val="18DC5CEB"/>
    <w:rsid w:val="18E62FBE"/>
    <w:rsid w:val="18EE7258"/>
    <w:rsid w:val="19000F5A"/>
    <w:rsid w:val="190C7DED"/>
    <w:rsid w:val="19117B58"/>
    <w:rsid w:val="19270D53"/>
    <w:rsid w:val="193337BA"/>
    <w:rsid w:val="19402796"/>
    <w:rsid w:val="19407B9F"/>
    <w:rsid w:val="195254FA"/>
    <w:rsid w:val="195919BF"/>
    <w:rsid w:val="19677C6A"/>
    <w:rsid w:val="19733859"/>
    <w:rsid w:val="198A4DC2"/>
    <w:rsid w:val="198F1447"/>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8762F"/>
    <w:rsid w:val="1A6D533B"/>
    <w:rsid w:val="1A9D156F"/>
    <w:rsid w:val="1AA80D9B"/>
    <w:rsid w:val="1AA847EC"/>
    <w:rsid w:val="1AAD0BB3"/>
    <w:rsid w:val="1AC0624B"/>
    <w:rsid w:val="1AD01EB8"/>
    <w:rsid w:val="1AD03E52"/>
    <w:rsid w:val="1AD1685B"/>
    <w:rsid w:val="1AD875EC"/>
    <w:rsid w:val="1AE26A3D"/>
    <w:rsid w:val="1AF475AD"/>
    <w:rsid w:val="1AF92EDF"/>
    <w:rsid w:val="1AFD70F0"/>
    <w:rsid w:val="1B0270FF"/>
    <w:rsid w:val="1B181DD9"/>
    <w:rsid w:val="1B2F477F"/>
    <w:rsid w:val="1B4604AB"/>
    <w:rsid w:val="1B68276D"/>
    <w:rsid w:val="1B6C3B7D"/>
    <w:rsid w:val="1B7F0ABE"/>
    <w:rsid w:val="1B834589"/>
    <w:rsid w:val="1BA75872"/>
    <w:rsid w:val="1BAB396E"/>
    <w:rsid w:val="1BB07C7C"/>
    <w:rsid w:val="1BBB692B"/>
    <w:rsid w:val="1BBF0E19"/>
    <w:rsid w:val="1BCD692F"/>
    <w:rsid w:val="1BE23EBD"/>
    <w:rsid w:val="1BFB1528"/>
    <w:rsid w:val="1C2E6201"/>
    <w:rsid w:val="1C302928"/>
    <w:rsid w:val="1C52178E"/>
    <w:rsid w:val="1C68632B"/>
    <w:rsid w:val="1C9F1651"/>
    <w:rsid w:val="1CAB7A6B"/>
    <w:rsid w:val="1CEB46F7"/>
    <w:rsid w:val="1D23735C"/>
    <w:rsid w:val="1D54071F"/>
    <w:rsid w:val="1D6451C6"/>
    <w:rsid w:val="1D654C9F"/>
    <w:rsid w:val="1D69417C"/>
    <w:rsid w:val="1D807289"/>
    <w:rsid w:val="1D8E233B"/>
    <w:rsid w:val="1D975DF7"/>
    <w:rsid w:val="1D9B123D"/>
    <w:rsid w:val="1D9E12E8"/>
    <w:rsid w:val="1DC82338"/>
    <w:rsid w:val="1DCB4927"/>
    <w:rsid w:val="1DD6405C"/>
    <w:rsid w:val="1DDD3571"/>
    <w:rsid w:val="1E190463"/>
    <w:rsid w:val="1E24668A"/>
    <w:rsid w:val="1E2A27A6"/>
    <w:rsid w:val="1E4B2FD7"/>
    <w:rsid w:val="1E645EBF"/>
    <w:rsid w:val="1E7911C9"/>
    <w:rsid w:val="1E7B335B"/>
    <w:rsid w:val="1E8D194D"/>
    <w:rsid w:val="1EA50F33"/>
    <w:rsid w:val="1ED503FA"/>
    <w:rsid w:val="1EE724BA"/>
    <w:rsid w:val="1EFF6434"/>
    <w:rsid w:val="1F311F17"/>
    <w:rsid w:val="1F3A0011"/>
    <w:rsid w:val="1F3A5F92"/>
    <w:rsid w:val="1F701095"/>
    <w:rsid w:val="1F923DE6"/>
    <w:rsid w:val="1FA42D75"/>
    <w:rsid w:val="1FA610B9"/>
    <w:rsid w:val="1FD024AA"/>
    <w:rsid w:val="1FDC54C4"/>
    <w:rsid w:val="1FEE4C5C"/>
    <w:rsid w:val="1FF012A4"/>
    <w:rsid w:val="1FF23EC9"/>
    <w:rsid w:val="20040834"/>
    <w:rsid w:val="20190666"/>
    <w:rsid w:val="202C1885"/>
    <w:rsid w:val="203B574B"/>
    <w:rsid w:val="203D583D"/>
    <w:rsid w:val="204A7C68"/>
    <w:rsid w:val="2053493C"/>
    <w:rsid w:val="205E4038"/>
    <w:rsid w:val="2075093F"/>
    <w:rsid w:val="20786BA2"/>
    <w:rsid w:val="207F447D"/>
    <w:rsid w:val="20884263"/>
    <w:rsid w:val="209D6390"/>
    <w:rsid w:val="20A160B2"/>
    <w:rsid w:val="20D105CB"/>
    <w:rsid w:val="20D16460"/>
    <w:rsid w:val="20DD7F39"/>
    <w:rsid w:val="20E24774"/>
    <w:rsid w:val="20F25221"/>
    <w:rsid w:val="21145BE0"/>
    <w:rsid w:val="21440678"/>
    <w:rsid w:val="216365D8"/>
    <w:rsid w:val="2165140C"/>
    <w:rsid w:val="21691F88"/>
    <w:rsid w:val="2187182E"/>
    <w:rsid w:val="218A070F"/>
    <w:rsid w:val="21957939"/>
    <w:rsid w:val="21C1624C"/>
    <w:rsid w:val="21E26EA0"/>
    <w:rsid w:val="21F34D45"/>
    <w:rsid w:val="21F950CF"/>
    <w:rsid w:val="22045432"/>
    <w:rsid w:val="222A3C9E"/>
    <w:rsid w:val="22396FF8"/>
    <w:rsid w:val="22431035"/>
    <w:rsid w:val="225C0846"/>
    <w:rsid w:val="22B0252A"/>
    <w:rsid w:val="22D75BB2"/>
    <w:rsid w:val="22E819D8"/>
    <w:rsid w:val="22F57E73"/>
    <w:rsid w:val="231523F7"/>
    <w:rsid w:val="234B605E"/>
    <w:rsid w:val="235133E3"/>
    <w:rsid w:val="23560A29"/>
    <w:rsid w:val="235F59AB"/>
    <w:rsid w:val="238A4219"/>
    <w:rsid w:val="239051E5"/>
    <w:rsid w:val="23924A0F"/>
    <w:rsid w:val="23987B60"/>
    <w:rsid w:val="239D13E8"/>
    <w:rsid w:val="239F6D5D"/>
    <w:rsid w:val="239F7F68"/>
    <w:rsid w:val="23ED0F94"/>
    <w:rsid w:val="23FC3011"/>
    <w:rsid w:val="240D18BD"/>
    <w:rsid w:val="246E404E"/>
    <w:rsid w:val="247F538E"/>
    <w:rsid w:val="248114CC"/>
    <w:rsid w:val="24A3249E"/>
    <w:rsid w:val="24A62D02"/>
    <w:rsid w:val="24AF069B"/>
    <w:rsid w:val="24AF1929"/>
    <w:rsid w:val="24B63D40"/>
    <w:rsid w:val="24C674E1"/>
    <w:rsid w:val="24C8317D"/>
    <w:rsid w:val="24FA0B67"/>
    <w:rsid w:val="25082A0B"/>
    <w:rsid w:val="252A182D"/>
    <w:rsid w:val="25417958"/>
    <w:rsid w:val="254369E7"/>
    <w:rsid w:val="25494E1D"/>
    <w:rsid w:val="257A74F9"/>
    <w:rsid w:val="25895A3D"/>
    <w:rsid w:val="258D735D"/>
    <w:rsid w:val="259A68BC"/>
    <w:rsid w:val="25C069EC"/>
    <w:rsid w:val="25D1716B"/>
    <w:rsid w:val="25DF6A97"/>
    <w:rsid w:val="25E6024A"/>
    <w:rsid w:val="25EA0F86"/>
    <w:rsid w:val="26212585"/>
    <w:rsid w:val="26282ED7"/>
    <w:rsid w:val="265B6DE8"/>
    <w:rsid w:val="265F04C1"/>
    <w:rsid w:val="267440C5"/>
    <w:rsid w:val="268C256C"/>
    <w:rsid w:val="269F48BD"/>
    <w:rsid w:val="26A7223A"/>
    <w:rsid w:val="26F23979"/>
    <w:rsid w:val="272A1178"/>
    <w:rsid w:val="272D26C8"/>
    <w:rsid w:val="274604BA"/>
    <w:rsid w:val="27530B85"/>
    <w:rsid w:val="27537ACC"/>
    <w:rsid w:val="276C2A3C"/>
    <w:rsid w:val="27743788"/>
    <w:rsid w:val="277B261F"/>
    <w:rsid w:val="27962ACA"/>
    <w:rsid w:val="279B5A93"/>
    <w:rsid w:val="27A35CC1"/>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E0AA4"/>
    <w:rsid w:val="296735A6"/>
    <w:rsid w:val="296D7E15"/>
    <w:rsid w:val="29962D19"/>
    <w:rsid w:val="29AD3BB2"/>
    <w:rsid w:val="29B4309C"/>
    <w:rsid w:val="29C153D9"/>
    <w:rsid w:val="29C30BAC"/>
    <w:rsid w:val="29CD7458"/>
    <w:rsid w:val="29D9048F"/>
    <w:rsid w:val="29EF70CC"/>
    <w:rsid w:val="2A0A0002"/>
    <w:rsid w:val="2A1C62F4"/>
    <w:rsid w:val="2A5F0A9A"/>
    <w:rsid w:val="2A802A87"/>
    <w:rsid w:val="2A931BB9"/>
    <w:rsid w:val="2A9D346A"/>
    <w:rsid w:val="2AB51A38"/>
    <w:rsid w:val="2AB903D8"/>
    <w:rsid w:val="2ACD6CCC"/>
    <w:rsid w:val="2ADF720A"/>
    <w:rsid w:val="2AEE4512"/>
    <w:rsid w:val="2AFC30F1"/>
    <w:rsid w:val="2B341240"/>
    <w:rsid w:val="2B34584A"/>
    <w:rsid w:val="2B64015F"/>
    <w:rsid w:val="2B644948"/>
    <w:rsid w:val="2B7C6921"/>
    <w:rsid w:val="2B9C4F86"/>
    <w:rsid w:val="2BD1675A"/>
    <w:rsid w:val="2BFE1EDB"/>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EF3C54"/>
    <w:rsid w:val="2CF23870"/>
    <w:rsid w:val="2D006219"/>
    <w:rsid w:val="2D05566F"/>
    <w:rsid w:val="2D11170D"/>
    <w:rsid w:val="2D13298D"/>
    <w:rsid w:val="2D221D5D"/>
    <w:rsid w:val="2D2A0414"/>
    <w:rsid w:val="2D383726"/>
    <w:rsid w:val="2D386439"/>
    <w:rsid w:val="2D4000C8"/>
    <w:rsid w:val="2D7B766B"/>
    <w:rsid w:val="2D9379FB"/>
    <w:rsid w:val="2D9E7CAE"/>
    <w:rsid w:val="2DBA7FBA"/>
    <w:rsid w:val="2DBE1024"/>
    <w:rsid w:val="2DC6390A"/>
    <w:rsid w:val="2DE16ECB"/>
    <w:rsid w:val="2DE2223D"/>
    <w:rsid w:val="2DE40DD4"/>
    <w:rsid w:val="2E0F2EDB"/>
    <w:rsid w:val="2E145E1D"/>
    <w:rsid w:val="2E18318C"/>
    <w:rsid w:val="2E223E47"/>
    <w:rsid w:val="2E270A97"/>
    <w:rsid w:val="2E3F4045"/>
    <w:rsid w:val="2E406C0B"/>
    <w:rsid w:val="2E4430FB"/>
    <w:rsid w:val="2E4A213E"/>
    <w:rsid w:val="2E6A7B7E"/>
    <w:rsid w:val="2E852BFA"/>
    <w:rsid w:val="2EB72D84"/>
    <w:rsid w:val="2EE359E2"/>
    <w:rsid w:val="2EEC1574"/>
    <w:rsid w:val="2F1B43C7"/>
    <w:rsid w:val="2F2763E1"/>
    <w:rsid w:val="2F5604CA"/>
    <w:rsid w:val="2F592F8F"/>
    <w:rsid w:val="2FA36E63"/>
    <w:rsid w:val="2FC33170"/>
    <w:rsid w:val="2FD352CF"/>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84959"/>
    <w:rsid w:val="30FA5F5C"/>
    <w:rsid w:val="30FB65D1"/>
    <w:rsid w:val="30FC5A3F"/>
    <w:rsid w:val="31052214"/>
    <w:rsid w:val="3136571E"/>
    <w:rsid w:val="314A52DD"/>
    <w:rsid w:val="31644472"/>
    <w:rsid w:val="31645690"/>
    <w:rsid w:val="316D5BBF"/>
    <w:rsid w:val="3170139F"/>
    <w:rsid w:val="317213BC"/>
    <w:rsid w:val="317D02F3"/>
    <w:rsid w:val="319567AC"/>
    <w:rsid w:val="31AC3F23"/>
    <w:rsid w:val="31D94323"/>
    <w:rsid w:val="31F43EF2"/>
    <w:rsid w:val="320F656E"/>
    <w:rsid w:val="3229313A"/>
    <w:rsid w:val="322A09EC"/>
    <w:rsid w:val="322E6D47"/>
    <w:rsid w:val="32343227"/>
    <w:rsid w:val="324748F5"/>
    <w:rsid w:val="327945B0"/>
    <w:rsid w:val="32AD5AEA"/>
    <w:rsid w:val="32C3640C"/>
    <w:rsid w:val="32C47E69"/>
    <w:rsid w:val="32DF4B9C"/>
    <w:rsid w:val="32EE5E66"/>
    <w:rsid w:val="32F707FF"/>
    <w:rsid w:val="32FE7982"/>
    <w:rsid w:val="330D52B8"/>
    <w:rsid w:val="331E1C54"/>
    <w:rsid w:val="335A2666"/>
    <w:rsid w:val="33666803"/>
    <w:rsid w:val="33871402"/>
    <w:rsid w:val="338A0060"/>
    <w:rsid w:val="338C018A"/>
    <w:rsid w:val="338C598B"/>
    <w:rsid w:val="33901C94"/>
    <w:rsid w:val="33A045C6"/>
    <w:rsid w:val="33A655BD"/>
    <w:rsid w:val="33AF50D7"/>
    <w:rsid w:val="33C2279E"/>
    <w:rsid w:val="33E6404A"/>
    <w:rsid w:val="34052E84"/>
    <w:rsid w:val="34195765"/>
    <w:rsid w:val="3435099A"/>
    <w:rsid w:val="343B5578"/>
    <w:rsid w:val="34510B5E"/>
    <w:rsid w:val="3465056A"/>
    <w:rsid w:val="346866A1"/>
    <w:rsid w:val="34700522"/>
    <w:rsid w:val="348167F0"/>
    <w:rsid w:val="34921598"/>
    <w:rsid w:val="349A1C0D"/>
    <w:rsid w:val="34A75868"/>
    <w:rsid w:val="34A83FD4"/>
    <w:rsid w:val="34C804C4"/>
    <w:rsid w:val="34E261D0"/>
    <w:rsid w:val="34E3740B"/>
    <w:rsid w:val="350D2053"/>
    <w:rsid w:val="350D51A0"/>
    <w:rsid w:val="3516735B"/>
    <w:rsid w:val="35286BF7"/>
    <w:rsid w:val="35522321"/>
    <w:rsid w:val="355D53D4"/>
    <w:rsid w:val="35753453"/>
    <w:rsid w:val="3599429E"/>
    <w:rsid w:val="35A73257"/>
    <w:rsid w:val="35B12F84"/>
    <w:rsid w:val="35B57875"/>
    <w:rsid w:val="36033A12"/>
    <w:rsid w:val="362F0086"/>
    <w:rsid w:val="363D403E"/>
    <w:rsid w:val="366D3CBC"/>
    <w:rsid w:val="36750E50"/>
    <w:rsid w:val="36776EAA"/>
    <w:rsid w:val="367C01BA"/>
    <w:rsid w:val="36B77EB7"/>
    <w:rsid w:val="36DE7BD3"/>
    <w:rsid w:val="37510F39"/>
    <w:rsid w:val="37592FE4"/>
    <w:rsid w:val="375E20CF"/>
    <w:rsid w:val="377336AC"/>
    <w:rsid w:val="377F502A"/>
    <w:rsid w:val="37804449"/>
    <w:rsid w:val="378A028C"/>
    <w:rsid w:val="37BC42C1"/>
    <w:rsid w:val="37C51AE9"/>
    <w:rsid w:val="37CA1388"/>
    <w:rsid w:val="37CC6ED3"/>
    <w:rsid w:val="37F94643"/>
    <w:rsid w:val="37FB24F6"/>
    <w:rsid w:val="3806724C"/>
    <w:rsid w:val="38292EF5"/>
    <w:rsid w:val="38305180"/>
    <w:rsid w:val="383B2625"/>
    <w:rsid w:val="3850158A"/>
    <w:rsid w:val="385C1B7F"/>
    <w:rsid w:val="38610D05"/>
    <w:rsid w:val="388F49F5"/>
    <w:rsid w:val="38995310"/>
    <w:rsid w:val="38AB3C78"/>
    <w:rsid w:val="38BD6057"/>
    <w:rsid w:val="38FA192C"/>
    <w:rsid w:val="38FB4BD9"/>
    <w:rsid w:val="39076C11"/>
    <w:rsid w:val="391F2580"/>
    <w:rsid w:val="39221703"/>
    <w:rsid w:val="39283EEC"/>
    <w:rsid w:val="392D67AC"/>
    <w:rsid w:val="3930488C"/>
    <w:rsid w:val="39401394"/>
    <w:rsid w:val="3968060E"/>
    <w:rsid w:val="398473E8"/>
    <w:rsid w:val="39A644DA"/>
    <w:rsid w:val="39C531C8"/>
    <w:rsid w:val="39DF0FA6"/>
    <w:rsid w:val="39E23259"/>
    <w:rsid w:val="39EA289E"/>
    <w:rsid w:val="3A0B2C87"/>
    <w:rsid w:val="3A0E4E62"/>
    <w:rsid w:val="3A0F0F43"/>
    <w:rsid w:val="3A2140D2"/>
    <w:rsid w:val="3A380799"/>
    <w:rsid w:val="3A476B5E"/>
    <w:rsid w:val="3A4B0E8F"/>
    <w:rsid w:val="3A555FAD"/>
    <w:rsid w:val="3A711825"/>
    <w:rsid w:val="3A7B1CBC"/>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D4373"/>
    <w:rsid w:val="3BA92EC6"/>
    <w:rsid w:val="3BB663C6"/>
    <w:rsid w:val="3BB94D10"/>
    <w:rsid w:val="3BDE416C"/>
    <w:rsid w:val="3BE70BEC"/>
    <w:rsid w:val="3C0435A9"/>
    <w:rsid w:val="3C3158BF"/>
    <w:rsid w:val="3C512C6A"/>
    <w:rsid w:val="3C5E6096"/>
    <w:rsid w:val="3C6B63F3"/>
    <w:rsid w:val="3C6D0AA3"/>
    <w:rsid w:val="3C7D446D"/>
    <w:rsid w:val="3C8805E4"/>
    <w:rsid w:val="3C903856"/>
    <w:rsid w:val="3CAF357E"/>
    <w:rsid w:val="3CB05E10"/>
    <w:rsid w:val="3CBF3D07"/>
    <w:rsid w:val="3CE90D4D"/>
    <w:rsid w:val="3CEC5BD9"/>
    <w:rsid w:val="3D0A2A8A"/>
    <w:rsid w:val="3D0D553D"/>
    <w:rsid w:val="3D12272E"/>
    <w:rsid w:val="3D321FA1"/>
    <w:rsid w:val="3D5C306C"/>
    <w:rsid w:val="3D6A3EE4"/>
    <w:rsid w:val="3D6E15B5"/>
    <w:rsid w:val="3D8762BD"/>
    <w:rsid w:val="3D941FD0"/>
    <w:rsid w:val="3DA75BB4"/>
    <w:rsid w:val="3DB73788"/>
    <w:rsid w:val="3DBE7888"/>
    <w:rsid w:val="3DC72FAC"/>
    <w:rsid w:val="3DD4640D"/>
    <w:rsid w:val="3DF15BE8"/>
    <w:rsid w:val="3E00648E"/>
    <w:rsid w:val="3E097ED6"/>
    <w:rsid w:val="3E0F619F"/>
    <w:rsid w:val="3E2C07D2"/>
    <w:rsid w:val="3E4B1EC4"/>
    <w:rsid w:val="3E4C5C7B"/>
    <w:rsid w:val="3E4F06BE"/>
    <w:rsid w:val="3E60232E"/>
    <w:rsid w:val="3E6966CC"/>
    <w:rsid w:val="3E6F6349"/>
    <w:rsid w:val="3E7001DF"/>
    <w:rsid w:val="3E815E9D"/>
    <w:rsid w:val="3E8F04CD"/>
    <w:rsid w:val="3EA37326"/>
    <w:rsid w:val="3EA4334C"/>
    <w:rsid w:val="3EC21710"/>
    <w:rsid w:val="3ED07B39"/>
    <w:rsid w:val="3EEE4BA8"/>
    <w:rsid w:val="3F227ECC"/>
    <w:rsid w:val="3F2A1510"/>
    <w:rsid w:val="3F323523"/>
    <w:rsid w:val="3F59407A"/>
    <w:rsid w:val="3F963935"/>
    <w:rsid w:val="3FBD7ADB"/>
    <w:rsid w:val="3FED10C4"/>
    <w:rsid w:val="3FFD69BE"/>
    <w:rsid w:val="40115E5D"/>
    <w:rsid w:val="40142B28"/>
    <w:rsid w:val="402551CC"/>
    <w:rsid w:val="404C0EDB"/>
    <w:rsid w:val="405A7340"/>
    <w:rsid w:val="406563D6"/>
    <w:rsid w:val="406B7B27"/>
    <w:rsid w:val="40A1164F"/>
    <w:rsid w:val="40AD7C5B"/>
    <w:rsid w:val="40CD5F0B"/>
    <w:rsid w:val="40DD4729"/>
    <w:rsid w:val="40EB7E0B"/>
    <w:rsid w:val="40F1349D"/>
    <w:rsid w:val="411E2BE4"/>
    <w:rsid w:val="413A144A"/>
    <w:rsid w:val="41694287"/>
    <w:rsid w:val="416948A9"/>
    <w:rsid w:val="416B194D"/>
    <w:rsid w:val="41724916"/>
    <w:rsid w:val="41851622"/>
    <w:rsid w:val="41BE3E52"/>
    <w:rsid w:val="41C36A02"/>
    <w:rsid w:val="41D8445C"/>
    <w:rsid w:val="41F85D27"/>
    <w:rsid w:val="420E2A1A"/>
    <w:rsid w:val="4237497C"/>
    <w:rsid w:val="424D68DB"/>
    <w:rsid w:val="42565FD0"/>
    <w:rsid w:val="42596CCD"/>
    <w:rsid w:val="425E5FDE"/>
    <w:rsid w:val="427F350F"/>
    <w:rsid w:val="42914340"/>
    <w:rsid w:val="42AF1A12"/>
    <w:rsid w:val="42B008AC"/>
    <w:rsid w:val="43127FA0"/>
    <w:rsid w:val="431D66E9"/>
    <w:rsid w:val="4357457D"/>
    <w:rsid w:val="43587C29"/>
    <w:rsid w:val="435C6176"/>
    <w:rsid w:val="43616901"/>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6B48FC"/>
    <w:rsid w:val="44785AEE"/>
    <w:rsid w:val="44843CC9"/>
    <w:rsid w:val="44880967"/>
    <w:rsid w:val="44B673AA"/>
    <w:rsid w:val="44D26E80"/>
    <w:rsid w:val="44DB773A"/>
    <w:rsid w:val="44F14784"/>
    <w:rsid w:val="450039C1"/>
    <w:rsid w:val="451A32B1"/>
    <w:rsid w:val="451E341B"/>
    <w:rsid w:val="452D6C34"/>
    <w:rsid w:val="454D00BA"/>
    <w:rsid w:val="456951DA"/>
    <w:rsid w:val="45973AD6"/>
    <w:rsid w:val="45A52B1C"/>
    <w:rsid w:val="45AC4CF4"/>
    <w:rsid w:val="45AD524F"/>
    <w:rsid w:val="45AE36B8"/>
    <w:rsid w:val="45CF7FBC"/>
    <w:rsid w:val="45F35C5E"/>
    <w:rsid w:val="46400CA9"/>
    <w:rsid w:val="46406C53"/>
    <w:rsid w:val="465A4FCD"/>
    <w:rsid w:val="465B230D"/>
    <w:rsid w:val="4662285A"/>
    <w:rsid w:val="467208A3"/>
    <w:rsid w:val="46810023"/>
    <w:rsid w:val="468354F8"/>
    <w:rsid w:val="46836109"/>
    <w:rsid w:val="468B0189"/>
    <w:rsid w:val="46995FD1"/>
    <w:rsid w:val="46B06667"/>
    <w:rsid w:val="46C35907"/>
    <w:rsid w:val="47032B85"/>
    <w:rsid w:val="47111705"/>
    <w:rsid w:val="4719625B"/>
    <w:rsid w:val="472C0755"/>
    <w:rsid w:val="4745188E"/>
    <w:rsid w:val="476D2EF2"/>
    <w:rsid w:val="476E7A2B"/>
    <w:rsid w:val="477A07F4"/>
    <w:rsid w:val="47B54AA8"/>
    <w:rsid w:val="47BD13B2"/>
    <w:rsid w:val="47BF5406"/>
    <w:rsid w:val="47C073E7"/>
    <w:rsid w:val="47C621A4"/>
    <w:rsid w:val="47DE197A"/>
    <w:rsid w:val="47E3143C"/>
    <w:rsid w:val="47F04F1C"/>
    <w:rsid w:val="47F261EE"/>
    <w:rsid w:val="4801327C"/>
    <w:rsid w:val="484B3CA6"/>
    <w:rsid w:val="48713429"/>
    <w:rsid w:val="487B3B0A"/>
    <w:rsid w:val="487F761D"/>
    <w:rsid w:val="48850709"/>
    <w:rsid w:val="4891605D"/>
    <w:rsid w:val="48CC0A6E"/>
    <w:rsid w:val="48D173C6"/>
    <w:rsid w:val="48E02F78"/>
    <w:rsid w:val="48E40723"/>
    <w:rsid w:val="48E76F84"/>
    <w:rsid w:val="48F00546"/>
    <w:rsid w:val="4906501C"/>
    <w:rsid w:val="49132398"/>
    <w:rsid w:val="491B5B23"/>
    <w:rsid w:val="493B491E"/>
    <w:rsid w:val="494305AE"/>
    <w:rsid w:val="49550F29"/>
    <w:rsid w:val="498E5DDA"/>
    <w:rsid w:val="499A319C"/>
    <w:rsid w:val="49A75100"/>
    <w:rsid w:val="49B6483C"/>
    <w:rsid w:val="49B66680"/>
    <w:rsid w:val="49C75CA3"/>
    <w:rsid w:val="49D145CB"/>
    <w:rsid w:val="49E56673"/>
    <w:rsid w:val="4A0F6E1A"/>
    <w:rsid w:val="4A125A83"/>
    <w:rsid w:val="4A171DB0"/>
    <w:rsid w:val="4A2057D8"/>
    <w:rsid w:val="4A284B3F"/>
    <w:rsid w:val="4A5A35C4"/>
    <w:rsid w:val="4A6F2547"/>
    <w:rsid w:val="4A861680"/>
    <w:rsid w:val="4A8764D3"/>
    <w:rsid w:val="4A980B3E"/>
    <w:rsid w:val="4AC77F8B"/>
    <w:rsid w:val="4AD74EF4"/>
    <w:rsid w:val="4AED5C11"/>
    <w:rsid w:val="4AFF253A"/>
    <w:rsid w:val="4B096721"/>
    <w:rsid w:val="4B151DD8"/>
    <w:rsid w:val="4B1E03CD"/>
    <w:rsid w:val="4B2F5A69"/>
    <w:rsid w:val="4B600DBB"/>
    <w:rsid w:val="4B740186"/>
    <w:rsid w:val="4B7467CA"/>
    <w:rsid w:val="4B7A2CD7"/>
    <w:rsid w:val="4B8464B3"/>
    <w:rsid w:val="4B96469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901E4"/>
    <w:rsid w:val="4D805757"/>
    <w:rsid w:val="4DCB0227"/>
    <w:rsid w:val="4DCF155E"/>
    <w:rsid w:val="4DD11AEE"/>
    <w:rsid w:val="4DE22B61"/>
    <w:rsid w:val="4E071018"/>
    <w:rsid w:val="4E1E35A8"/>
    <w:rsid w:val="4E4A36DE"/>
    <w:rsid w:val="4E4B1237"/>
    <w:rsid w:val="4E685D9D"/>
    <w:rsid w:val="4E997F39"/>
    <w:rsid w:val="4EA45038"/>
    <w:rsid w:val="4EA535EA"/>
    <w:rsid w:val="4EAA452F"/>
    <w:rsid w:val="4EAB7555"/>
    <w:rsid w:val="4EB16F4D"/>
    <w:rsid w:val="4ED37A9C"/>
    <w:rsid w:val="4EDE0A69"/>
    <w:rsid w:val="4EF438A7"/>
    <w:rsid w:val="4EF74679"/>
    <w:rsid w:val="4F053AD4"/>
    <w:rsid w:val="4F4F7C97"/>
    <w:rsid w:val="4F586DFE"/>
    <w:rsid w:val="4F7F3425"/>
    <w:rsid w:val="4F890EBD"/>
    <w:rsid w:val="4F951D60"/>
    <w:rsid w:val="4F9B52CA"/>
    <w:rsid w:val="4FAB27E4"/>
    <w:rsid w:val="4FAD4336"/>
    <w:rsid w:val="4FEA66FB"/>
    <w:rsid w:val="50000326"/>
    <w:rsid w:val="5012456C"/>
    <w:rsid w:val="501B0160"/>
    <w:rsid w:val="5028413A"/>
    <w:rsid w:val="502E0E02"/>
    <w:rsid w:val="5034185C"/>
    <w:rsid w:val="50412BC6"/>
    <w:rsid w:val="50662285"/>
    <w:rsid w:val="50935D58"/>
    <w:rsid w:val="509473B7"/>
    <w:rsid w:val="50C85002"/>
    <w:rsid w:val="50D3250E"/>
    <w:rsid w:val="50D33AD4"/>
    <w:rsid w:val="50D565E3"/>
    <w:rsid w:val="51251091"/>
    <w:rsid w:val="512B4D4B"/>
    <w:rsid w:val="51351C9B"/>
    <w:rsid w:val="513D3709"/>
    <w:rsid w:val="515323AC"/>
    <w:rsid w:val="515911D2"/>
    <w:rsid w:val="5159308A"/>
    <w:rsid w:val="51636223"/>
    <w:rsid w:val="51665649"/>
    <w:rsid w:val="517462FF"/>
    <w:rsid w:val="51996C1B"/>
    <w:rsid w:val="51A56DF6"/>
    <w:rsid w:val="51AB46BA"/>
    <w:rsid w:val="51C04F90"/>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E0F28"/>
    <w:rsid w:val="52D32108"/>
    <w:rsid w:val="52D6356D"/>
    <w:rsid w:val="52F77D67"/>
    <w:rsid w:val="52F836E3"/>
    <w:rsid w:val="532F7394"/>
    <w:rsid w:val="53374AF5"/>
    <w:rsid w:val="53385FAE"/>
    <w:rsid w:val="534E489F"/>
    <w:rsid w:val="536E730E"/>
    <w:rsid w:val="537C2BD7"/>
    <w:rsid w:val="53971E29"/>
    <w:rsid w:val="539D713D"/>
    <w:rsid w:val="53A35F99"/>
    <w:rsid w:val="53E6334F"/>
    <w:rsid w:val="53FB17FA"/>
    <w:rsid w:val="54167AE8"/>
    <w:rsid w:val="541862F0"/>
    <w:rsid w:val="542D068B"/>
    <w:rsid w:val="546A6559"/>
    <w:rsid w:val="546F0B91"/>
    <w:rsid w:val="54B70A61"/>
    <w:rsid w:val="54B779B5"/>
    <w:rsid w:val="54D25371"/>
    <w:rsid w:val="54EA3421"/>
    <w:rsid w:val="54EC1FC6"/>
    <w:rsid w:val="54EC416F"/>
    <w:rsid w:val="550939D7"/>
    <w:rsid w:val="552C68B9"/>
    <w:rsid w:val="55335647"/>
    <w:rsid w:val="5538682D"/>
    <w:rsid w:val="55476094"/>
    <w:rsid w:val="554A06ED"/>
    <w:rsid w:val="5552614F"/>
    <w:rsid w:val="55530973"/>
    <w:rsid w:val="55560E04"/>
    <w:rsid w:val="55666B45"/>
    <w:rsid w:val="55722092"/>
    <w:rsid w:val="5583167D"/>
    <w:rsid w:val="55995FB7"/>
    <w:rsid w:val="55A156DD"/>
    <w:rsid w:val="55A45CC4"/>
    <w:rsid w:val="55B13035"/>
    <w:rsid w:val="55BD15CA"/>
    <w:rsid w:val="55C10548"/>
    <w:rsid w:val="55C244BC"/>
    <w:rsid w:val="55C708F6"/>
    <w:rsid w:val="55E14A9E"/>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7B1855"/>
    <w:rsid w:val="56AF2A5F"/>
    <w:rsid w:val="56BB5794"/>
    <w:rsid w:val="56C16A07"/>
    <w:rsid w:val="56C56026"/>
    <w:rsid w:val="56C721C1"/>
    <w:rsid w:val="56C75E65"/>
    <w:rsid w:val="56ED49AC"/>
    <w:rsid w:val="57037964"/>
    <w:rsid w:val="570D1D86"/>
    <w:rsid w:val="570E1422"/>
    <w:rsid w:val="573F549A"/>
    <w:rsid w:val="57553D3F"/>
    <w:rsid w:val="57703672"/>
    <w:rsid w:val="5773534B"/>
    <w:rsid w:val="57780B7F"/>
    <w:rsid w:val="57856672"/>
    <w:rsid w:val="578C265D"/>
    <w:rsid w:val="579D25BA"/>
    <w:rsid w:val="57B9331D"/>
    <w:rsid w:val="57B975D7"/>
    <w:rsid w:val="57BB6757"/>
    <w:rsid w:val="57C82DD9"/>
    <w:rsid w:val="57E73B91"/>
    <w:rsid w:val="57F3287F"/>
    <w:rsid w:val="57F45188"/>
    <w:rsid w:val="57F81A83"/>
    <w:rsid w:val="57FA61B1"/>
    <w:rsid w:val="58032997"/>
    <w:rsid w:val="581D6018"/>
    <w:rsid w:val="583F1055"/>
    <w:rsid w:val="58441188"/>
    <w:rsid w:val="58477459"/>
    <w:rsid w:val="58494A10"/>
    <w:rsid w:val="584B2FF5"/>
    <w:rsid w:val="585A018E"/>
    <w:rsid w:val="585B0937"/>
    <w:rsid w:val="585E0241"/>
    <w:rsid w:val="58744829"/>
    <w:rsid w:val="587673AC"/>
    <w:rsid w:val="588562E3"/>
    <w:rsid w:val="5898522B"/>
    <w:rsid w:val="589F3897"/>
    <w:rsid w:val="58A045EF"/>
    <w:rsid w:val="58AE0C9D"/>
    <w:rsid w:val="58BD3A38"/>
    <w:rsid w:val="58DC744B"/>
    <w:rsid w:val="58F609E4"/>
    <w:rsid w:val="58FB67BC"/>
    <w:rsid w:val="5930657D"/>
    <w:rsid w:val="59327DEB"/>
    <w:rsid w:val="59392E42"/>
    <w:rsid w:val="593B5B55"/>
    <w:rsid w:val="593D19BE"/>
    <w:rsid w:val="597D137C"/>
    <w:rsid w:val="599D01FE"/>
    <w:rsid w:val="59AF4353"/>
    <w:rsid w:val="59CB134C"/>
    <w:rsid w:val="59D13042"/>
    <w:rsid w:val="59EA652F"/>
    <w:rsid w:val="59ED4AA2"/>
    <w:rsid w:val="5A3F6176"/>
    <w:rsid w:val="5A5419CE"/>
    <w:rsid w:val="5A587AE0"/>
    <w:rsid w:val="5A5A38F1"/>
    <w:rsid w:val="5A617BFA"/>
    <w:rsid w:val="5A7629B7"/>
    <w:rsid w:val="5A83298E"/>
    <w:rsid w:val="5A84337E"/>
    <w:rsid w:val="5A891BB6"/>
    <w:rsid w:val="5A8D03AD"/>
    <w:rsid w:val="5AA34E07"/>
    <w:rsid w:val="5AD937F3"/>
    <w:rsid w:val="5ADB5FCA"/>
    <w:rsid w:val="5ADD77B5"/>
    <w:rsid w:val="5AE30663"/>
    <w:rsid w:val="5AE36AFC"/>
    <w:rsid w:val="5AE47198"/>
    <w:rsid w:val="5AEF3CA7"/>
    <w:rsid w:val="5AFB0199"/>
    <w:rsid w:val="5B0001EA"/>
    <w:rsid w:val="5B2D4307"/>
    <w:rsid w:val="5B5041D6"/>
    <w:rsid w:val="5B554FD4"/>
    <w:rsid w:val="5B6B25D0"/>
    <w:rsid w:val="5B6B4549"/>
    <w:rsid w:val="5B9F5E0C"/>
    <w:rsid w:val="5BAD031C"/>
    <w:rsid w:val="5BB36D0A"/>
    <w:rsid w:val="5BD03C5A"/>
    <w:rsid w:val="5BD33975"/>
    <w:rsid w:val="5BDA775F"/>
    <w:rsid w:val="5BEA7806"/>
    <w:rsid w:val="5BED1355"/>
    <w:rsid w:val="5C035D5C"/>
    <w:rsid w:val="5C054372"/>
    <w:rsid w:val="5C0B1081"/>
    <w:rsid w:val="5C2E76F3"/>
    <w:rsid w:val="5C531DAC"/>
    <w:rsid w:val="5C5F19A2"/>
    <w:rsid w:val="5C6742FC"/>
    <w:rsid w:val="5C7870C9"/>
    <w:rsid w:val="5C793AF2"/>
    <w:rsid w:val="5C885120"/>
    <w:rsid w:val="5C8D094F"/>
    <w:rsid w:val="5CAA3CDC"/>
    <w:rsid w:val="5CC14996"/>
    <w:rsid w:val="5CDB13F1"/>
    <w:rsid w:val="5CE42BFC"/>
    <w:rsid w:val="5D08718A"/>
    <w:rsid w:val="5D33075C"/>
    <w:rsid w:val="5D38401E"/>
    <w:rsid w:val="5D42131E"/>
    <w:rsid w:val="5D4B0C7E"/>
    <w:rsid w:val="5D6545FE"/>
    <w:rsid w:val="5D65772A"/>
    <w:rsid w:val="5D787E7B"/>
    <w:rsid w:val="5DA30012"/>
    <w:rsid w:val="5DC93120"/>
    <w:rsid w:val="5DDA6F3B"/>
    <w:rsid w:val="5DDB5F91"/>
    <w:rsid w:val="5E282729"/>
    <w:rsid w:val="5E2C3252"/>
    <w:rsid w:val="5E39000D"/>
    <w:rsid w:val="5E5007AD"/>
    <w:rsid w:val="5E5126D4"/>
    <w:rsid w:val="5E575A00"/>
    <w:rsid w:val="5E5B33A6"/>
    <w:rsid w:val="5EEC29C3"/>
    <w:rsid w:val="5EF527AD"/>
    <w:rsid w:val="5F0241A8"/>
    <w:rsid w:val="5F031737"/>
    <w:rsid w:val="5F1A1471"/>
    <w:rsid w:val="5F1B570F"/>
    <w:rsid w:val="5F4013BA"/>
    <w:rsid w:val="5F515252"/>
    <w:rsid w:val="5F882D2B"/>
    <w:rsid w:val="5FB80825"/>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CF4513"/>
    <w:rsid w:val="60D45EFD"/>
    <w:rsid w:val="60D87E5D"/>
    <w:rsid w:val="60F668B8"/>
    <w:rsid w:val="60FC46B7"/>
    <w:rsid w:val="61002168"/>
    <w:rsid w:val="61172DD5"/>
    <w:rsid w:val="6138206E"/>
    <w:rsid w:val="616270EF"/>
    <w:rsid w:val="61706EDF"/>
    <w:rsid w:val="61770AB3"/>
    <w:rsid w:val="619B1498"/>
    <w:rsid w:val="619B3BCB"/>
    <w:rsid w:val="61C5760F"/>
    <w:rsid w:val="61CB09F2"/>
    <w:rsid w:val="61F34165"/>
    <w:rsid w:val="62053AEE"/>
    <w:rsid w:val="62206297"/>
    <w:rsid w:val="62236A30"/>
    <w:rsid w:val="62426D4A"/>
    <w:rsid w:val="62842199"/>
    <w:rsid w:val="62904A5E"/>
    <w:rsid w:val="62B6346C"/>
    <w:rsid w:val="62C4291E"/>
    <w:rsid w:val="62C65CEC"/>
    <w:rsid w:val="62F27D6D"/>
    <w:rsid w:val="631814C9"/>
    <w:rsid w:val="632F7DE7"/>
    <w:rsid w:val="6347606A"/>
    <w:rsid w:val="635B012E"/>
    <w:rsid w:val="635E620F"/>
    <w:rsid w:val="6368049F"/>
    <w:rsid w:val="636A3EC3"/>
    <w:rsid w:val="636A6F4B"/>
    <w:rsid w:val="63793000"/>
    <w:rsid w:val="63A94A31"/>
    <w:rsid w:val="63AC1EAC"/>
    <w:rsid w:val="63C90B49"/>
    <w:rsid w:val="63C910E5"/>
    <w:rsid w:val="63CC75B9"/>
    <w:rsid w:val="63E30C41"/>
    <w:rsid w:val="63FE1629"/>
    <w:rsid w:val="640673D9"/>
    <w:rsid w:val="641E6EE2"/>
    <w:rsid w:val="64275148"/>
    <w:rsid w:val="64326B19"/>
    <w:rsid w:val="645214CF"/>
    <w:rsid w:val="6487530B"/>
    <w:rsid w:val="64BA39D7"/>
    <w:rsid w:val="64CF3CAA"/>
    <w:rsid w:val="64D96235"/>
    <w:rsid w:val="64DA01CC"/>
    <w:rsid w:val="650F5FAC"/>
    <w:rsid w:val="652D2807"/>
    <w:rsid w:val="6534392E"/>
    <w:rsid w:val="654F6FF9"/>
    <w:rsid w:val="656033A2"/>
    <w:rsid w:val="65815AA0"/>
    <w:rsid w:val="658855D4"/>
    <w:rsid w:val="658867B3"/>
    <w:rsid w:val="659B42A0"/>
    <w:rsid w:val="65A8095A"/>
    <w:rsid w:val="65F1238A"/>
    <w:rsid w:val="65F35604"/>
    <w:rsid w:val="65FF3198"/>
    <w:rsid w:val="663B062F"/>
    <w:rsid w:val="663E4EF3"/>
    <w:rsid w:val="66471F83"/>
    <w:rsid w:val="665A01D2"/>
    <w:rsid w:val="6688533A"/>
    <w:rsid w:val="66BB442F"/>
    <w:rsid w:val="66D02521"/>
    <w:rsid w:val="67004A1C"/>
    <w:rsid w:val="67097AAB"/>
    <w:rsid w:val="670C3488"/>
    <w:rsid w:val="672E09CF"/>
    <w:rsid w:val="67365DB5"/>
    <w:rsid w:val="673E5BCE"/>
    <w:rsid w:val="677507BF"/>
    <w:rsid w:val="6792126C"/>
    <w:rsid w:val="67A97CFB"/>
    <w:rsid w:val="67CF5A1D"/>
    <w:rsid w:val="67DA135C"/>
    <w:rsid w:val="67EB7F24"/>
    <w:rsid w:val="67EC006A"/>
    <w:rsid w:val="680328B7"/>
    <w:rsid w:val="680D5EE5"/>
    <w:rsid w:val="68107593"/>
    <w:rsid w:val="684D1BE5"/>
    <w:rsid w:val="68651677"/>
    <w:rsid w:val="686F261C"/>
    <w:rsid w:val="687E3602"/>
    <w:rsid w:val="688F77C3"/>
    <w:rsid w:val="68A9751A"/>
    <w:rsid w:val="68AC366C"/>
    <w:rsid w:val="68B329E9"/>
    <w:rsid w:val="69030906"/>
    <w:rsid w:val="692C4F44"/>
    <w:rsid w:val="69326C25"/>
    <w:rsid w:val="697D4944"/>
    <w:rsid w:val="697E2DEE"/>
    <w:rsid w:val="699B3DF9"/>
    <w:rsid w:val="69E1523E"/>
    <w:rsid w:val="6A1D2790"/>
    <w:rsid w:val="6A377133"/>
    <w:rsid w:val="6A3802AF"/>
    <w:rsid w:val="6A382142"/>
    <w:rsid w:val="6A4E7EC9"/>
    <w:rsid w:val="6A650E8F"/>
    <w:rsid w:val="6A7F0672"/>
    <w:rsid w:val="6A8243F3"/>
    <w:rsid w:val="6AA25847"/>
    <w:rsid w:val="6ADE4B51"/>
    <w:rsid w:val="6AEB550E"/>
    <w:rsid w:val="6AF47AD0"/>
    <w:rsid w:val="6B0B7792"/>
    <w:rsid w:val="6B18387B"/>
    <w:rsid w:val="6B213C7A"/>
    <w:rsid w:val="6B2726B5"/>
    <w:rsid w:val="6B3D4519"/>
    <w:rsid w:val="6B4943C4"/>
    <w:rsid w:val="6B5760AD"/>
    <w:rsid w:val="6B6356A7"/>
    <w:rsid w:val="6B6712DB"/>
    <w:rsid w:val="6B6F75D9"/>
    <w:rsid w:val="6B7753BB"/>
    <w:rsid w:val="6B793C22"/>
    <w:rsid w:val="6B7A6C48"/>
    <w:rsid w:val="6B8223B8"/>
    <w:rsid w:val="6BA303EE"/>
    <w:rsid w:val="6BCA3451"/>
    <w:rsid w:val="6BD57A1A"/>
    <w:rsid w:val="6BE52340"/>
    <w:rsid w:val="6BEA317F"/>
    <w:rsid w:val="6C077B7C"/>
    <w:rsid w:val="6C3D68C7"/>
    <w:rsid w:val="6C89469E"/>
    <w:rsid w:val="6C93673A"/>
    <w:rsid w:val="6C9559EA"/>
    <w:rsid w:val="6C991B9A"/>
    <w:rsid w:val="6CBB305B"/>
    <w:rsid w:val="6CC206BF"/>
    <w:rsid w:val="6CC30C66"/>
    <w:rsid w:val="6CDD0CB1"/>
    <w:rsid w:val="6CE419F3"/>
    <w:rsid w:val="6CE93DEC"/>
    <w:rsid w:val="6D225A73"/>
    <w:rsid w:val="6D4B705D"/>
    <w:rsid w:val="6D711A3E"/>
    <w:rsid w:val="6D736593"/>
    <w:rsid w:val="6D8D0D90"/>
    <w:rsid w:val="6D96046C"/>
    <w:rsid w:val="6DC91D5B"/>
    <w:rsid w:val="6DD50561"/>
    <w:rsid w:val="6DD95830"/>
    <w:rsid w:val="6DF021A3"/>
    <w:rsid w:val="6E124286"/>
    <w:rsid w:val="6E134309"/>
    <w:rsid w:val="6E1A1F69"/>
    <w:rsid w:val="6E2B2A93"/>
    <w:rsid w:val="6E3B5323"/>
    <w:rsid w:val="6E4F38F8"/>
    <w:rsid w:val="6E657BB2"/>
    <w:rsid w:val="6E6E43B8"/>
    <w:rsid w:val="6E793023"/>
    <w:rsid w:val="6E7F7AFB"/>
    <w:rsid w:val="6EB770BA"/>
    <w:rsid w:val="6EB96505"/>
    <w:rsid w:val="6ED43ACF"/>
    <w:rsid w:val="6EDF1CCE"/>
    <w:rsid w:val="6EEA71F0"/>
    <w:rsid w:val="6F2B434D"/>
    <w:rsid w:val="6F2C5B46"/>
    <w:rsid w:val="6F2D78EE"/>
    <w:rsid w:val="6F4947DA"/>
    <w:rsid w:val="6F4E71A8"/>
    <w:rsid w:val="6F70301C"/>
    <w:rsid w:val="6F781F55"/>
    <w:rsid w:val="6F7C562E"/>
    <w:rsid w:val="6FB93CAC"/>
    <w:rsid w:val="6FB95193"/>
    <w:rsid w:val="6FE60D34"/>
    <w:rsid w:val="6FEE7F40"/>
    <w:rsid w:val="70015EAC"/>
    <w:rsid w:val="70093C44"/>
    <w:rsid w:val="7013025E"/>
    <w:rsid w:val="70150176"/>
    <w:rsid w:val="706A4129"/>
    <w:rsid w:val="70747A02"/>
    <w:rsid w:val="7076111A"/>
    <w:rsid w:val="70B73E00"/>
    <w:rsid w:val="70B774D1"/>
    <w:rsid w:val="70F2796B"/>
    <w:rsid w:val="710F1765"/>
    <w:rsid w:val="71102404"/>
    <w:rsid w:val="711A1C30"/>
    <w:rsid w:val="711D088F"/>
    <w:rsid w:val="711E6ABB"/>
    <w:rsid w:val="71377746"/>
    <w:rsid w:val="71400456"/>
    <w:rsid w:val="714C2EBE"/>
    <w:rsid w:val="71611C06"/>
    <w:rsid w:val="71636191"/>
    <w:rsid w:val="71686453"/>
    <w:rsid w:val="716F74C0"/>
    <w:rsid w:val="71A976A3"/>
    <w:rsid w:val="71B83D73"/>
    <w:rsid w:val="71C94377"/>
    <w:rsid w:val="71D6274F"/>
    <w:rsid w:val="72033A39"/>
    <w:rsid w:val="726E4C9E"/>
    <w:rsid w:val="7289516B"/>
    <w:rsid w:val="729310B6"/>
    <w:rsid w:val="72C80096"/>
    <w:rsid w:val="72CD0489"/>
    <w:rsid w:val="72DB349B"/>
    <w:rsid w:val="72E10CF1"/>
    <w:rsid w:val="72E16E78"/>
    <w:rsid w:val="72EA15F7"/>
    <w:rsid w:val="73062CBE"/>
    <w:rsid w:val="731912B2"/>
    <w:rsid w:val="73297EB2"/>
    <w:rsid w:val="732B2071"/>
    <w:rsid w:val="73497FD2"/>
    <w:rsid w:val="735765E8"/>
    <w:rsid w:val="73611BAF"/>
    <w:rsid w:val="7368643D"/>
    <w:rsid w:val="73794A20"/>
    <w:rsid w:val="738A6877"/>
    <w:rsid w:val="739C4779"/>
    <w:rsid w:val="73A2442B"/>
    <w:rsid w:val="73AA6208"/>
    <w:rsid w:val="73C832AF"/>
    <w:rsid w:val="73E52982"/>
    <w:rsid w:val="73FA0625"/>
    <w:rsid w:val="74024A09"/>
    <w:rsid w:val="7422148A"/>
    <w:rsid w:val="74472CC7"/>
    <w:rsid w:val="748330DD"/>
    <w:rsid w:val="7485747A"/>
    <w:rsid w:val="748D3B91"/>
    <w:rsid w:val="74963991"/>
    <w:rsid w:val="74B71854"/>
    <w:rsid w:val="74FD176E"/>
    <w:rsid w:val="75132281"/>
    <w:rsid w:val="754C1C51"/>
    <w:rsid w:val="755F4608"/>
    <w:rsid w:val="7564660F"/>
    <w:rsid w:val="7571106C"/>
    <w:rsid w:val="757918F4"/>
    <w:rsid w:val="75886342"/>
    <w:rsid w:val="758A779D"/>
    <w:rsid w:val="758E7458"/>
    <w:rsid w:val="75B9274E"/>
    <w:rsid w:val="75F83FB4"/>
    <w:rsid w:val="75F9318E"/>
    <w:rsid w:val="75FC2E47"/>
    <w:rsid w:val="760E47B2"/>
    <w:rsid w:val="76631090"/>
    <w:rsid w:val="76703988"/>
    <w:rsid w:val="7672217C"/>
    <w:rsid w:val="76A12DC3"/>
    <w:rsid w:val="76D15B17"/>
    <w:rsid w:val="77186B1E"/>
    <w:rsid w:val="77645C7D"/>
    <w:rsid w:val="777439C1"/>
    <w:rsid w:val="778B1158"/>
    <w:rsid w:val="77961505"/>
    <w:rsid w:val="77B15DF4"/>
    <w:rsid w:val="77B856B5"/>
    <w:rsid w:val="78076895"/>
    <w:rsid w:val="78091695"/>
    <w:rsid w:val="78151AE7"/>
    <w:rsid w:val="781D0ABF"/>
    <w:rsid w:val="782B5948"/>
    <w:rsid w:val="78602ABF"/>
    <w:rsid w:val="78665FE4"/>
    <w:rsid w:val="786E0FFE"/>
    <w:rsid w:val="78A93133"/>
    <w:rsid w:val="78D02FB6"/>
    <w:rsid w:val="78E43768"/>
    <w:rsid w:val="78FD3867"/>
    <w:rsid w:val="79214FA6"/>
    <w:rsid w:val="79367FB8"/>
    <w:rsid w:val="79392A29"/>
    <w:rsid w:val="79583AEC"/>
    <w:rsid w:val="795C7162"/>
    <w:rsid w:val="797812D7"/>
    <w:rsid w:val="799D7539"/>
    <w:rsid w:val="799F72C4"/>
    <w:rsid w:val="79A20557"/>
    <w:rsid w:val="79AB7A8E"/>
    <w:rsid w:val="79AC0207"/>
    <w:rsid w:val="79CB5BC6"/>
    <w:rsid w:val="79D0709A"/>
    <w:rsid w:val="79E554A8"/>
    <w:rsid w:val="79FD492D"/>
    <w:rsid w:val="7A087CF7"/>
    <w:rsid w:val="7A13564A"/>
    <w:rsid w:val="7A303322"/>
    <w:rsid w:val="7A7F6A39"/>
    <w:rsid w:val="7A9A2995"/>
    <w:rsid w:val="7A9E37B9"/>
    <w:rsid w:val="7AA85A57"/>
    <w:rsid w:val="7AA97571"/>
    <w:rsid w:val="7AD1328F"/>
    <w:rsid w:val="7AF26D81"/>
    <w:rsid w:val="7AF464E6"/>
    <w:rsid w:val="7AF6549D"/>
    <w:rsid w:val="7B014170"/>
    <w:rsid w:val="7B187563"/>
    <w:rsid w:val="7B1A61F8"/>
    <w:rsid w:val="7B5C346C"/>
    <w:rsid w:val="7B5E5C27"/>
    <w:rsid w:val="7B652196"/>
    <w:rsid w:val="7B762D9E"/>
    <w:rsid w:val="7B784952"/>
    <w:rsid w:val="7B7C479D"/>
    <w:rsid w:val="7B7E15E7"/>
    <w:rsid w:val="7B920A5D"/>
    <w:rsid w:val="7BA1455F"/>
    <w:rsid w:val="7BCC7A90"/>
    <w:rsid w:val="7BDC1294"/>
    <w:rsid w:val="7BE975D0"/>
    <w:rsid w:val="7BF2190A"/>
    <w:rsid w:val="7C010589"/>
    <w:rsid w:val="7C160D02"/>
    <w:rsid w:val="7C1637C1"/>
    <w:rsid w:val="7C1E537F"/>
    <w:rsid w:val="7C4706AF"/>
    <w:rsid w:val="7C526D30"/>
    <w:rsid w:val="7C574088"/>
    <w:rsid w:val="7C5D6386"/>
    <w:rsid w:val="7C921F5C"/>
    <w:rsid w:val="7C9D2374"/>
    <w:rsid w:val="7CAC42FA"/>
    <w:rsid w:val="7CD97C96"/>
    <w:rsid w:val="7CEA2FFC"/>
    <w:rsid w:val="7CF36D0A"/>
    <w:rsid w:val="7CFD68A1"/>
    <w:rsid w:val="7D004B90"/>
    <w:rsid w:val="7D09176A"/>
    <w:rsid w:val="7D15262A"/>
    <w:rsid w:val="7D21528B"/>
    <w:rsid w:val="7D295788"/>
    <w:rsid w:val="7D2D6988"/>
    <w:rsid w:val="7D431D8D"/>
    <w:rsid w:val="7D7D4F75"/>
    <w:rsid w:val="7D937F07"/>
    <w:rsid w:val="7DA008E1"/>
    <w:rsid w:val="7DAA286B"/>
    <w:rsid w:val="7DB954F6"/>
    <w:rsid w:val="7DC07247"/>
    <w:rsid w:val="7DC62F24"/>
    <w:rsid w:val="7DCA4DE2"/>
    <w:rsid w:val="7DDE5DE0"/>
    <w:rsid w:val="7DE93C91"/>
    <w:rsid w:val="7DFC10B6"/>
    <w:rsid w:val="7E0B2B81"/>
    <w:rsid w:val="7E0E7FD0"/>
    <w:rsid w:val="7E1B6002"/>
    <w:rsid w:val="7E1F4180"/>
    <w:rsid w:val="7E433210"/>
    <w:rsid w:val="7E575AC2"/>
    <w:rsid w:val="7E580C80"/>
    <w:rsid w:val="7E68207B"/>
    <w:rsid w:val="7E8B6473"/>
    <w:rsid w:val="7E950FE9"/>
    <w:rsid w:val="7EA454D3"/>
    <w:rsid w:val="7EC009E8"/>
    <w:rsid w:val="7ED16523"/>
    <w:rsid w:val="7EDA6457"/>
    <w:rsid w:val="7EE83A26"/>
    <w:rsid w:val="7EF96B1E"/>
    <w:rsid w:val="7F353C06"/>
    <w:rsid w:val="7F410352"/>
    <w:rsid w:val="7F440F7A"/>
    <w:rsid w:val="7F510226"/>
    <w:rsid w:val="7F5E5DAF"/>
    <w:rsid w:val="7F633EFB"/>
    <w:rsid w:val="7F634386"/>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iPriority="99"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16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link w:val="33"/>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34"/>
    <w:qFormat/>
    <w:uiPriority w:val="0"/>
    <w:pPr>
      <w:numPr>
        <w:ilvl w:val="1"/>
      </w:numPr>
      <w:pBdr>
        <w:top w:val="none" w:color="auto" w:sz="0" w:space="0"/>
      </w:pBdr>
      <w:spacing w:before="180"/>
      <w:ind w:right="100" w:rightChars="100"/>
      <w:outlineLvl w:val="1"/>
    </w:pPr>
    <w:rPr>
      <w:sz w:val="28"/>
    </w:rPr>
  </w:style>
  <w:style w:type="paragraph" w:styleId="4">
    <w:name w:val="heading 3"/>
    <w:basedOn w:val="1"/>
    <w:next w:val="1"/>
    <w:link w:val="35"/>
    <w:qFormat/>
    <w:uiPriority w:val="0"/>
    <w:pPr>
      <w:spacing w:before="120"/>
      <w:outlineLvl w:val="2"/>
    </w:pPr>
    <w:rPr>
      <w:sz w:val="24"/>
    </w:rPr>
  </w:style>
  <w:style w:type="paragraph" w:styleId="5">
    <w:name w:val="heading 4"/>
    <w:basedOn w:val="4"/>
    <w:next w:val="1"/>
    <w:unhideWhenUsed/>
    <w:qFormat/>
    <w:uiPriority w:val="9"/>
    <w:pPr>
      <w:spacing w:beforeLines="0" w:afterLines="0" w:line="372" w:lineRule="auto"/>
      <w:outlineLvl w:val="3"/>
    </w:pPr>
    <w:rPr>
      <w:rFonts w:eastAsia="黑体"/>
      <w:b/>
      <w:sz w:val="28"/>
    </w:rPr>
  </w:style>
  <w:style w:type="paragraph" w:styleId="6">
    <w:name w:val="heading 5"/>
    <w:basedOn w:val="5"/>
    <w:next w:val="1"/>
    <w:unhideWhenUsed/>
    <w:qFormat/>
    <w:uiPriority w:val="9"/>
    <w:pPr>
      <w:spacing w:before="10" w:after="10" w:line="240" w:lineRule="auto"/>
      <w:outlineLvl w:val="4"/>
    </w:pPr>
    <w:rPr>
      <w:rFonts w:eastAsia="宋体"/>
      <w:sz w:val="21"/>
      <w:u w:val="single"/>
    </w:rPr>
  </w:style>
  <w:style w:type="paragraph" w:styleId="7">
    <w:name w:val="heading 6"/>
    <w:basedOn w:val="8"/>
    <w:next w:val="1"/>
    <w:qFormat/>
    <w:uiPriority w:val="0"/>
    <w:pPr>
      <w:outlineLvl w:val="5"/>
    </w:pPr>
  </w:style>
  <w:style w:type="character" w:default="1" w:styleId="27">
    <w:name w:val="Default Paragraph Font"/>
    <w:semiHidden/>
    <w:unhideWhenUsed/>
    <w:qFormat/>
    <w:uiPriority w:val="1"/>
  </w:style>
  <w:style w:type="table" w:default="1" w:styleId="25">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List 3"/>
    <w:basedOn w:val="10"/>
    <w:qFormat/>
    <w:uiPriority w:val="0"/>
    <w:pPr>
      <w:ind w:left="1135"/>
    </w:p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caption"/>
    <w:basedOn w:val="1"/>
    <w:next w:val="1"/>
    <w:unhideWhenUsed/>
    <w:qFormat/>
    <w:uiPriority w:val="99"/>
    <w:rPr>
      <w:rFonts w:ascii="Arial" w:hAnsi="Arial" w:eastAsia="黑体"/>
      <w:sz w:val="20"/>
    </w:rPr>
  </w:style>
  <w:style w:type="paragraph" w:styleId="13">
    <w:name w:val="Document Map"/>
    <w:basedOn w:val="1"/>
    <w:link w:val="54"/>
    <w:semiHidden/>
    <w:unhideWhenUsed/>
    <w:qFormat/>
    <w:uiPriority w:val="99"/>
    <w:rPr>
      <w:rFonts w:ascii="宋体"/>
      <w:sz w:val="18"/>
      <w:szCs w:val="18"/>
    </w:rPr>
  </w:style>
  <w:style w:type="paragraph" w:styleId="14">
    <w:name w:val="annotation text"/>
    <w:basedOn w:val="1"/>
    <w:link w:val="36"/>
    <w:qFormat/>
    <w:uiPriority w:val="0"/>
  </w:style>
  <w:style w:type="paragraph" w:styleId="15">
    <w:name w:val="Body Text"/>
    <w:basedOn w:val="1"/>
    <w:qFormat/>
    <w:uiPriority w:val="0"/>
    <w:pPr>
      <w:spacing w:after="120"/>
    </w:pPr>
    <w:rPr>
      <w:rFonts w:ascii="Times" w:hAnsi="Times"/>
      <w:szCs w:val="24"/>
    </w:rPr>
  </w:style>
  <w:style w:type="paragraph" w:styleId="16">
    <w:name w:val="toc 3"/>
    <w:basedOn w:val="1"/>
    <w:next w:val="1"/>
    <w:unhideWhenUsed/>
    <w:qFormat/>
    <w:uiPriority w:val="99"/>
    <w:pPr>
      <w:adjustRightInd w:val="0"/>
      <w:ind w:left="1282" w:leftChars="400" w:hanging="442" w:hangingChars="200"/>
    </w:pPr>
    <w:rPr>
      <w:b/>
      <w:i/>
      <w:sz w:val="20"/>
    </w:rPr>
  </w:style>
  <w:style w:type="paragraph" w:styleId="17">
    <w:name w:val="Balloon Text"/>
    <w:basedOn w:val="1"/>
    <w:link w:val="32"/>
    <w:semiHidden/>
    <w:unhideWhenUsed/>
    <w:qFormat/>
    <w:uiPriority w:val="99"/>
    <w:rPr>
      <w:sz w:val="18"/>
      <w:szCs w:val="18"/>
    </w:rPr>
  </w:style>
  <w:style w:type="paragraph" w:styleId="18">
    <w:name w:val="footer"/>
    <w:basedOn w:val="1"/>
    <w:link w:val="37"/>
    <w:semiHidden/>
    <w:unhideWhenUsed/>
    <w:qFormat/>
    <w:uiPriority w:val="99"/>
    <w:pPr>
      <w:tabs>
        <w:tab w:val="center" w:pos="4153"/>
        <w:tab w:val="right" w:pos="8306"/>
      </w:tabs>
      <w:snapToGrid w:val="0"/>
      <w:jc w:val="left"/>
    </w:pPr>
    <w:rPr>
      <w:sz w:val="18"/>
      <w:szCs w:val="18"/>
    </w:rPr>
  </w:style>
  <w:style w:type="paragraph" w:styleId="19">
    <w:name w:val="header"/>
    <w:basedOn w:val="1"/>
    <w:link w:val="38"/>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tabs>
        <w:tab w:val="decimal" w:pos="0"/>
        <w:tab w:val="right" w:pos="9660"/>
      </w:tabs>
      <w:ind w:right="420" w:rightChars="200"/>
      <w:jc w:val="left"/>
    </w:pPr>
    <w:rPr>
      <w:b/>
      <w:bCs/>
      <w:i/>
      <w:iCs/>
      <w:sz w:val="20"/>
    </w:rPr>
  </w:style>
  <w:style w:type="paragraph" w:styleId="21">
    <w:name w:val="toc 2"/>
    <w:basedOn w:val="1"/>
    <w:next w:val="1"/>
    <w:semiHidden/>
    <w:unhideWhenUsed/>
    <w:qFormat/>
    <w:uiPriority w:val="99"/>
    <w:pPr>
      <w:tabs>
        <w:tab w:val="right" w:pos="420"/>
      </w:tabs>
      <w:ind w:left="862" w:leftChars="200" w:hanging="442" w:hangingChars="200"/>
      <w:jc w:val="left"/>
    </w:pPr>
    <w:rPr>
      <w:b/>
      <w:i/>
      <w:sz w:val="20"/>
    </w:rPr>
  </w:style>
  <w:style w:type="paragraph" w:styleId="22">
    <w:name w:val="List 4"/>
    <w:basedOn w:val="9"/>
    <w:qFormat/>
    <w:uiPriority w:val="0"/>
    <w:pPr>
      <w:ind w:left="1418"/>
    </w:pPr>
  </w:style>
  <w:style w:type="paragraph" w:styleId="23">
    <w:name w:val="Normal (Web)"/>
    <w:basedOn w:val="1"/>
    <w:unhideWhenUsed/>
    <w:qFormat/>
    <w:uiPriority w:val="99"/>
    <w:pPr>
      <w:spacing w:beforeAutospacing="1" w:afterAutospacing="1"/>
      <w:jc w:val="left"/>
    </w:pPr>
    <w:rPr>
      <w:kern w:val="0"/>
      <w:sz w:val="24"/>
    </w:rPr>
  </w:style>
  <w:style w:type="paragraph" w:styleId="24">
    <w:name w:val="annotation subject"/>
    <w:basedOn w:val="14"/>
    <w:next w:val="14"/>
    <w:link w:val="44"/>
    <w:semiHidden/>
    <w:unhideWhenUsed/>
    <w:qFormat/>
    <w:uiPriority w:val="99"/>
    <w:pPr>
      <w:jc w:val="left"/>
    </w:pPr>
    <w:rPr>
      <w:b/>
      <w:bCs/>
    </w:rPr>
  </w:style>
  <w:style w:type="table" w:styleId="26">
    <w:name w:val="Table Grid"/>
    <w:basedOn w:val="25"/>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qFormat/>
    <w:uiPriority w:val="22"/>
    <w:rPr>
      <w:b/>
    </w:rPr>
  </w:style>
  <w:style w:type="character" w:styleId="29">
    <w:name w:val="page number"/>
    <w:basedOn w:val="27"/>
    <w:semiHidden/>
    <w:qFormat/>
    <w:uiPriority w:val="0"/>
  </w:style>
  <w:style w:type="character" w:styleId="30">
    <w:name w:val="Hyperlink"/>
    <w:basedOn w:val="27"/>
    <w:qFormat/>
    <w:uiPriority w:val="99"/>
    <w:rPr>
      <w:color w:val="0000FF"/>
      <w:u w:val="single"/>
    </w:rPr>
  </w:style>
  <w:style w:type="character" w:styleId="31">
    <w:name w:val="annotation reference"/>
    <w:basedOn w:val="27"/>
    <w:qFormat/>
    <w:uiPriority w:val="0"/>
    <w:rPr>
      <w:sz w:val="16"/>
    </w:rPr>
  </w:style>
  <w:style w:type="character" w:customStyle="1" w:styleId="32">
    <w:name w:val="批注框文本 字符"/>
    <w:basedOn w:val="27"/>
    <w:link w:val="17"/>
    <w:semiHidden/>
    <w:qFormat/>
    <w:uiPriority w:val="99"/>
    <w:rPr>
      <w:rFonts w:ascii="Times New Roman" w:hAnsi="Times New Roman" w:eastAsia="宋体" w:cs="Times New Roman"/>
      <w:sz w:val="18"/>
      <w:szCs w:val="18"/>
    </w:rPr>
  </w:style>
  <w:style w:type="character" w:customStyle="1" w:styleId="33">
    <w:name w:val="标题 1 字符"/>
    <w:basedOn w:val="27"/>
    <w:link w:val="2"/>
    <w:qFormat/>
    <w:uiPriority w:val="0"/>
    <w:rPr>
      <w:rFonts w:ascii="Arial" w:hAnsi="Arial" w:eastAsia="MS Mincho" w:cs="Times New Roman"/>
      <w:sz w:val="32"/>
      <w:szCs w:val="20"/>
    </w:rPr>
  </w:style>
  <w:style w:type="character" w:customStyle="1" w:styleId="34">
    <w:name w:val="标题 2 字符"/>
    <w:basedOn w:val="27"/>
    <w:link w:val="3"/>
    <w:qFormat/>
    <w:uiPriority w:val="0"/>
    <w:rPr>
      <w:rFonts w:ascii="Arial" w:hAnsi="Arial" w:eastAsia="MS Mincho" w:cs="Times New Roman"/>
      <w:sz w:val="28"/>
      <w:szCs w:val="20"/>
    </w:rPr>
  </w:style>
  <w:style w:type="character" w:customStyle="1" w:styleId="35">
    <w:name w:val="标题 3 字符"/>
    <w:basedOn w:val="27"/>
    <w:link w:val="4"/>
    <w:qFormat/>
    <w:uiPriority w:val="0"/>
    <w:rPr>
      <w:rFonts w:ascii="Arial" w:hAnsi="Arial" w:eastAsia="MS Mincho" w:cs="Times New Roman"/>
      <w:sz w:val="24"/>
      <w:szCs w:val="20"/>
    </w:rPr>
  </w:style>
  <w:style w:type="character" w:customStyle="1" w:styleId="36">
    <w:name w:val="批注文字 字符"/>
    <w:basedOn w:val="27"/>
    <w:link w:val="14"/>
    <w:qFormat/>
    <w:uiPriority w:val="0"/>
    <w:rPr>
      <w:rFonts w:ascii="Times New Roman" w:hAnsi="Times New Roman" w:eastAsia="宋体" w:cs="Times New Roman"/>
      <w:szCs w:val="20"/>
    </w:rPr>
  </w:style>
  <w:style w:type="character" w:customStyle="1" w:styleId="37">
    <w:name w:val="页脚 字符"/>
    <w:basedOn w:val="27"/>
    <w:link w:val="18"/>
    <w:semiHidden/>
    <w:qFormat/>
    <w:uiPriority w:val="99"/>
    <w:rPr>
      <w:rFonts w:ascii="Times New Roman" w:hAnsi="Times New Roman" w:eastAsia="宋体" w:cs="Times New Roman"/>
      <w:sz w:val="18"/>
      <w:szCs w:val="18"/>
    </w:rPr>
  </w:style>
  <w:style w:type="character" w:customStyle="1" w:styleId="38">
    <w:name w:val="页眉 字符"/>
    <w:basedOn w:val="27"/>
    <w:link w:val="19"/>
    <w:semiHidden/>
    <w:qFormat/>
    <w:uiPriority w:val="0"/>
    <w:rPr>
      <w:rFonts w:ascii="Times New Roman" w:hAnsi="Times New Roman" w:eastAsia="宋体" w:cs="Times New Roman"/>
      <w:sz w:val="18"/>
      <w:szCs w:val="18"/>
    </w:rPr>
  </w:style>
  <w:style w:type="paragraph" w:customStyle="1" w:styleId="39">
    <w:name w:val="References"/>
    <w:basedOn w:val="1"/>
    <w:qFormat/>
    <w:uiPriority w:val="0"/>
    <w:pPr>
      <w:numPr>
        <w:ilvl w:val="0"/>
        <w:numId w:val="2"/>
      </w:numPr>
      <w:spacing w:after="60"/>
    </w:pPr>
    <w:rPr>
      <w:szCs w:val="16"/>
    </w:rPr>
  </w:style>
  <w:style w:type="paragraph" w:styleId="40">
    <w:name w:val="List Paragraph"/>
    <w:basedOn w:val="1"/>
    <w:link w:val="46"/>
    <w:qFormat/>
    <w:uiPriority w:val="34"/>
    <w:pPr>
      <w:spacing w:beforeLines="0"/>
      <w:ind w:left="720"/>
      <w:contextualSpacing/>
    </w:pPr>
    <w:rPr>
      <w:rFonts w:eastAsia="Times New Roman"/>
      <w:sz w:val="24"/>
      <w:szCs w:val="24"/>
    </w:rPr>
  </w:style>
  <w:style w:type="character" w:customStyle="1" w:styleId="41">
    <w:name w:val="font21"/>
    <w:basedOn w:val="27"/>
    <w:qFormat/>
    <w:uiPriority w:val="0"/>
    <w:rPr>
      <w:rFonts w:hint="default" w:ascii="Times New Roman" w:hAnsi="Times New Roman" w:cs="Times New Roman"/>
      <w:color w:val="000000"/>
      <w:sz w:val="20"/>
      <w:szCs w:val="20"/>
      <w:u w:val="none"/>
    </w:rPr>
  </w:style>
  <w:style w:type="character" w:customStyle="1" w:styleId="42">
    <w:name w:val="font11"/>
    <w:basedOn w:val="27"/>
    <w:qFormat/>
    <w:uiPriority w:val="0"/>
    <w:rPr>
      <w:rFonts w:hint="default" w:ascii="Symbol" w:hAnsi="Symbol" w:cs="Symbol"/>
      <w:b/>
      <w:color w:val="000000"/>
      <w:sz w:val="20"/>
      <w:szCs w:val="20"/>
      <w:u w:val="none"/>
    </w:rPr>
  </w:style>
  <w:style w:type="character" w:customStyle="1" w:styleId="43">
    <w:name w:val="font01"/>
    <w:basedOn w:val="27"/>
    <w:qFormat/>
    <w:uiPriority w:val="0"/>
    <w:rPr>
      <w:rFonts w:hint="default" w:ascii="Symbol" w:hAnsi="Symbol" w:cs="Symbol"/>
      <w:color w:val="000000"/>
      <w:sz w:val="20"/>
      <w:szCs w:val="20"/>
      <w:u w:val="none"/>
    </w:rPr>
  </w:style>
  <w:style w:type="character" w:customStyle="1" w:styleId="44">
    <w:name w:val="批注主题 字符"/>
    <w:basedOn w:val="36"/>
    <w:link w:val="24"/>
    <w:semiHidden/>
    <w:qFormat/>
    <w:uiPriority w:val="99"/>
    <w:rPr>
      <w:rFonts w:ascii="Times New Roman" w:hAnsi="Times New Roman" w:eastAsia="宋体" w:cs="Times New Roman"/>
      <w:b/>
      <w:bCs/>
      <w:kern w:val="2"/>
      <w:sz w:val="21"/>
      <w:szCs w:val="20"/>
    </w:rPr>
  </w:style>
  <w:style w:type="paragraph" w:customStyle="1" w:styleId="45">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character" w:customStyle="1" w:styleId="46">
    <w:name w:val="列表段落 字符"/>
    <w:link w:val="40"/>
    <w:qFormat/>
    <w:uiPriority w:val="34"/>
    <w:rPr>
      <w:rFonts w:ascii="Times New Roman" w:hAnsi="Times New Roman" w:eastAsia="Times New Roman" w:cs="Times New Roman"/>
      <w:kern w:val="2"/>
      <w:sz w:val="24"/>
      <w:szCs w:val="24"/>
    </w:rPr>
  </w:style>
  <w:style w:type="character" w:styleId="47">
    <w:name w:val="Placeholder Text"/>
    <w:basedOn w:val="27"/>
    <w:unhideWhenUsed/>
    <w:qFormat/>
    <w:uiPriority w:val="99"/>
    <w:rPr>
      <w:color w:val="808080"/>
    </w:rPr>
  </w:style>
  <w:style w:type="paragraph" w:customStyle="1" w:styleId="48">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character" w:customStyle="1" w:styleId="49">
    <w:name w:val="x_apple-converted-space"/>
    <w:qFormat/>
    <w:uiPriority w:val="0"/>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qFormat/>
    <w:uiPriority w:val="0"/>
    <w:pPr>
      <w:keepNext/>
      <w:keepLines/>
    </w:pPr>
    <w:rPr>
      <w:rFonts w:ascii="Arial" w:hAnsi="Arial"/>
      <w:sz w:val="18"/>
    </w:rPr>
  </w:style>
  <w:style w:type="paragraph" w:customStyle="1" w:styleId="53">
    <w:name w:val="修订1"/>
    <w:hidden/>
    <w:semiHidden/>
    <w:qFormat/>
    <w:uiPriority w:val="99"/>
    <w:pPr>
      <w:spacing w:after="160" w:line="259" w:lineRule="auto"/>
    </w:pPr>
    <w:rPr>
      <w:rFonts w:ascii="Times New Roman" w:hAnsi="Times New Roman" w:eastAsia="宋体" w:cs="Times New Roman"/>
      <w:kern w:val="2"/>
      <w:sz w:val="21"/>
      <w:lang w:val="en-US" w:eastAsia="zh-CN" w:bidi="ar-SA"/>
    </w:rPr>
  </w:style>
  <w:style w:type="character" w:customStyle="1" w:styleId="54">
    <w:name w:val="文档结构图 字符"/>
    <w:basedOn w:val="27"/>
    <w:link w:val="13"/>
    <w:semiHidden/>
    <w:qFormat/>
    <w:uiPriority w:val="99"/>
    <w:rPr>
      <w:rFonts w:ascii="宋体"/>
      <w:kern w:val="2"/>
      <w:sz w:val="18"/>
      <w:szCs w:val="18"/>
    </w:rPr>
  </w:style>
  <w:style w:type="paragraph" w:customStyle="1" w:styleId="55">
    <w:name w:val="修订2"/>
    <w:hidden/>
    <w:unhideWhenUsed/>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56">
    <w:name w:val="xmsonormal"/>
    <w:basedOn w:val="1"/>
    <w:qFormat/>
    <w:uiPriority w:val="0"/>
    <w:pPr>
      <w:spacing w:before="100" w:beforeAutospacing="1" w:after="100" w:afterAutospacing="1"/>
    </w:pPr>
    <w:rPr>
      <w:rFonts w:ascii="Calibri" w:hAnsi="Calibri" w:eastAsia="Calibri" w:cs="Calibri"/>
      <w:sz w:val="22"/>
      <w:szCs w:val="22"/>
    </w:rPr>
  </w:style>
  <w:style w:type="character" w:customStyle="1" w:styleId="57">
    <w:name w:val="apple-converted-space"/>
    <w:basedOn w:val="27"/>
    <w:qFormat/>
    <w:uiPriority w:val="0"/>
  </w:style>
  <w:style w:type="paragraph" w:customStyle="1" w:styleId="58">
    <w:name w:val="Tdoc_Header_2"/>
    <w:basedOn w:val="1"/>
    <w:qFormat/>
    <w:uiPriority w:val="0"/>
    <w:pPr>
      <w:widowControl w:val="0"/>
      <w:tabs>
        <w:tab w:val="left" w:pos="1701"/>
        <w:tab w:val="right" w:pos="9072"/>
        <w:tab w:val="right" w:pos="10206"/>
      </w:tabs>
    </w:pPr>
    <w:rPr>
      <w:rFonts w:ascii="Arial" w:hAnsi="Arial"/>
      <w:b/>
      <w:sz w:val="18"/>
    </w:rPr>
  </w:style>
  <w:style w:type="paragraph" w:customStyle="1" w:styleId="59">
    <w:name w:val="x_xmsonormal"/>
    <w:basedOn w:val="1"/>
    <w:qFormat/>
    <w:uiPriority w:val="0"/>
    <w:rPr>
      <w:rFonts w:ascii="宋体" w:hAnsi="宋体" w:cs="Calibri"/>
      <w:sz w:val="24"/>
    </w:rPr>
  </w:style>
  <w:style w:type="paragraph" w:customStyle="1" w:styleId="60">
    <w:name w:val="YJ-Observation"/>
    <w:basedOn w:val="1"/>
    <w:qFormat/>
    <w:uiPriority w:val="0"/>
    <w:pPr>
      <w:numPr>
        <w:ilvl w:val="0"/>
        <w:numId w:val="3"/>
      </w:numPr>
      <w:tabs>
        <w:tab w:val="left" w:pos="420"/>
      </w:tabs>
      <w:jc w:val="left"/>
    </w:pPr>
    <w:rPr>
      <w:rFonts w:eastAsiaTheme="minorEastAsia"/>
      <w:b/>
      <w:bCs/>
      <w:i/>
      <w:iCs/>
      <w:sz w:val="20"/>
      <w:lang w:val="en-GB" w:eastAsia="en-US"/>
    </w:rPr>
  </w:style>
  <w:style w:type="paragraph" w:customStyle="1" w:styleId="61">
    <w:name w:val="3GPP Normal Text"/>
    <w:basedOn w:val="15"/>
    <w:link w:val="73"/>
    <w:qFormat/>
    <w:uiPriority w:val="0"/>
    <w:pPr>
      <w:spacing w:after="60"/>
    </w:pPr>
    <w:rPr>
      <w:rFonts w:ascii="Times New Roman" w:hAnsi="Times New Roman" w:eastAsia="MS Mincho"/>
    </w:rPr>
  </w:style>
  <w:style w:type="paragraph" w:customStyle="1" w:styleId="62">
    <w:name w:val="List Paragraph1"/>
    <w:basedOn w:val="1"/>
    <w:qFormat/>
    <w:uiPriority w:val="0"/>
    <w:pPr>
      <w:widowControl w:val="0"/>
      <w:spacing w:beforeLines="0" w:afterLines="0" w:line="240" w:lineRule="auto"/>
      <w:ind w:firstLine="420" w:firstLineChars="200"/>
    </w:pPr>
    <w:rPr>
      <w:rFonts w:ascii="Calibri" w:hAnsi="Calibri"/>
      <w:szCs w:val="21"/>
    </w:rPr>
  </w:style>
  <w:style w:type="paragraph" w:customStyle="1" w:styleId="63">
    <w:name w:val="YJ-Proposal"/>
    <w:basedOn w:val="1"/>
    <w:qFormat/>
    <w:uiPriority w:val="0"/>
    <w:pPr>
      <w:numPr>
        <w:ilvl w:val="0"/>
        <w:numId w:val="4"/>
      </w:numPr>
      <w:jc w:val="left"/>
    </w:pPr>
    <w:rPr>
      <w:rFonts w:eastAsiaTheme="minorEastAsia"/>
      <w:b/>
      <w:bCs/>
      <w:i/>
      <w:iCs/>
      <w:sz w:val="20"/>
      <w:lang w:val="en-GB" w:eastAsia="en-US"/>
    </w:rPr>
  </w:style>
  <w:style w:type="character" w:customStyle="1" w:styleId="64">
    <w:name w:val="contentpasted2"/>
    <w:basedOn w:val="27"/>
    <w:qFormat/>
    <w:uiPriority w:val="0"/>
  </w:style>
  <w:style w:type="paragraph" w:customStyle="1" w:styleId="65">
    <w:name w:val="TH"/>
    <w:basedOn w:val="1"/>
    <w:qFormat/>
    <w:uiPriority w:val="0"/>
    <w:pPr>
      <w:keepNext/>
      <w:keepLines/>
      <w:spacing w:before="60" w:after="180"/>
      <w:jc w:val="center"/>
    </w:pPr>
    <w:rPr>
      <w:rFonts w:ascii="Arial" w:hAnsi="Arial" w:eastAsia="Times New Roman"/>
      <w:b/>
      <w:sz w:val="20"/>
      <w:lang w:val="en-GB"/>
    </w:rPr>
  </w:style>
  <w:style w:type="paragraph" w:customStyle="1" w:styleId="66">
    <w:name w:val="B1"/>
    <w:basedOn w:val="11"/>
    <w:qFormat/>
    <w:uiPriority w:val="0"/>
  </w:style>
  <w:style w:type="paragraph" w:customStyle="1" w:styleId="67">
    <w:name w:val="B2"/>
    <w:basedOn w:val="10"/>
    <w:qFormat/>
    <w:uiPriority w:val="0"/>
  </w:style>
  <w:style w:type="paragraph" w:customStyle="1" w:styleId="68">
    <w:name w:val="B3"/>
    <w:basedOn w:val="9"/>
    <w:qFormat/>
    <w:uiPriority w:val="0"/>
  </w:style>
  <w:style w:type="paragraph" w:customStyle="1" w:styleId="69">
    <w:name w:val="B4"/>
    <w:basedOn w:val="22"/>
    <w:qFormat/>
    <w:uiPriority w:val="0"/>
  </w:style>
  <w:style w:type="paragraph" w:customStyle="1" w:styleId="70">
    <w:name w:val="EQ"/>
    <w:basedOn w:val="1"/>
    <w:next w:val="1"/>
    <w:qFormat/>
    <w:uiPriority w:val="0"/>
    <w:pPr>
      <w:keepLines/>
      <w:tabs>
        <w:tab w:val="center" w:pos="4536"/>
        <w:tab w:val="right" w:pos="9072"/>
      </w:tabs>
    </w:pPr>
  </w:style>
  <w:style w:type="paragraph" w:customStyle="1" w:styleId="71">
    <w:name w:val="listparagraph"/>
    <w:basedOn w:val="1"/>
    <w:qFormat/>
    <w:uiPriority w:val="99"/>
    <w:pPr>
      <w:spacing w:line="252" w:lineRule="auto"/>
      <w:ind w:left="720"/>
    </w:pPr>
    <w:rPr>
      <w:rFonts w:ascii="Calibri" w:hAnsi="Calibri" w:eastAsia="Calibri" w:cs="Calibri"/>
      <w:sz w:val="22"/>
      <w:szCs w:val="22"/>
    </w:rPr>
  </w:style>
  <w:style w:type="paragraph" w:customStyle="1" w:styleId="72">
    <w:name w:val="Guidance"/>
    <w:basedOn w:val="1"/>
    <w:qFormat/>
    <w:uiPriority w:val="0"/>
    <w:rPr>
      <w:rFonts w:eastAsia="Times New Roman"/>
      <w:i/>
      <w:color w:val="000000"/>
      <w:lang w:eastAsia="ja-JP"/>
    </w:rPr>
  </w:style>
  <w:style w:type="character" w:customStyle="1" w:styleId="73">
    <w:name w:val="3GPP Normal Text Char"/>
    <w:link w:val="61"/>
    <w:qFormat/>
    <w:uiPriority w:val="0"/>
    <w:rPr>
      <w:rFonts w:ascii="Times New Roman" w:hAnsi="Times New Roman" w:eastAsia="MS Mincho"/>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FE8CBB-83FC-403B-8D24-E1E1CDD1D692}">
  <ds:schemaRefs/>
</ds:datastoreItem>
</file>

<file path=docProps/app.xml><?xml version="1.0" encoding="utf-8"?>
<Properties xmlns="http://schemas.openxmlformats.org/officeDocument/2006/extended-properties" xmlns:vt="http://schemas.openxmlformats.org/officeDocument/2006/docPropsVTypes">
  <Template>Normal.dotm</Template>
  <Pages>8</Pages>
  <Words>3128</Words>
  <Characters>17833</Characters>
  <Lines>148</Lines>
  <Paragraphs>41</Paragraphs>
  <TotalTime>6</TotalTime>
  <ScaleCrop>false</ScaleCrop>
  <LinksUpToDate>false</LinksUpToDate>
  <CharactersWithSpaces>20920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2022-09-29T12:33:00Z</dcterms:created>
  <dc:creator>YuzhouHu</dc:creator>
  <cp:lastModifiedBy>ZTE, Jiajun Xu</cp:lastModifiedBy>
  <dcterms:modified xsi:type="dcterms:W3CDTF">2024-02-19T08:43:32Z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99E8DD734233476CBAC4D595042B4A68</vt:lpwstr>
  </property>
</Properties>
</file>